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8C862" w14:textId="77777777" w:rsidR="005A0A21" w:rsidRPr="001D6341" w:rsidRDefault="005A0A21" w:rsidP="005A0A21">
      <w:pPr>
        <w:spacing w:line="276" w:lineRule="auto"/>
        <w:jc w:val="both"/>
        <w:rPr>
          <w:rFonts w:ascii="Arial" w:hAnsi="Arial" w:cs="Arial"/>
          <w:sz w:val="22"/>
          <w:szCs w:val="22"/>
        </w:rPr>
      </w:pPr>
      <w:r w:rsidRPr="001D6341">
        <w:rPr>
          <w:rFonts w:ascii="Arial" w:hAnsi="Arial" w:cs="Arial"/>
          <w:sz w:val="22"/>
          <w:szCs w:val="22"/>
        </w:rPr>
        <w:tab/>
      </w:r>
      <w:r w:rsidRPr="001D6341">
        <w:rPr>
          <w:rFonts w:ascii="Arial" w:hAnsi="Arial" w:cs="Arial"/>
          <w:sz w:val="22"/>
          <w:szCs w:val="22"/>
        </w:rPr>
        <w:tab/>
      </w:r>
      <w:r w:rsidRPr="001D6341">
        <w:rPr>
          <w:rFonts w:ascii="Arial" w:hAnsi="Arial" w:cs="Arial"/>
          <w:sz w:val="22"/>
          <w:szCs w:val="22"/>
        </w:rPr>
        <w:tab/>
      </w:r>
      <w:r w:rsidRPr="001D6341">
        <w:rPr>
          <w:rFonts w:ascii="Arial" w:hAnsi="Arial" w:cs="Arial"/>
          <w:sz w:val="22"/>
          <w:szCs w:val="22"/>
        </w:rPr>
        <w:tab/>
      </w:r>
    </w:p>
    <w:p w14:paraId="20EC4274" w14:textId="77777777" w:rsidR="005A0A21" w:rsidRPr="001D6341" w:rsidRDefault="005A0A21" w:rsidP="005A0A21">
      <w:pPr>
        <w:spacing w:line="276" w:lineRule="auto"/>
        <w:jc w:val="both"/>
        <w:rPr>
          <w:rFonts w:ascii="Arial" w:hAnsi="Arial" w:cs="Arial"/>
          <w:sz w:val="22"/>
          <w:szCs w:val="22"/>
        </w:rPr>
      </w:pPr>
    </w:p>
    <w:p w14:paraId="22BE105E" w14:textId="77777777" w:rsidR="005A0A21" w:rsidRPr="001D6341" w:rsidRDefault="005A0A21" w:rsidP="005A0A21">
      <w:pPr>
        <w:spacing w:line="276" w:lineRule="auto"/>
        <w:jc w:val="both"/>
        <w:rPr>
          <w:rFonts w:ascii="Arial" w:hAnsi="Arial" w:cs="Arial"/>
          <w:sz w:val="22"/>
          <w:szCs w:val="22"/>
        </w:rPr>
      </w:pPr>
    </w:p>
    <w:p w14:paraId="7086B0C6" w14:textId="77777777" w:rsidR="005A0A21" w:rsidRPr="001D6341" w:rsidRDefault="005A0A21" w:rsidP="005A0A21">
      <w:pPr>
        <w:spacing w:line="276" w:lineRule="auto"/>
        <w:jc w:val="both"/>
        <w:rPr>
          <w:rFonts w:ascii="Arial" w:hAnsi="Arial" w:cs="Arial"/>
          <w:sz w:val="22"/>
          <w:szCs w:val="22"/>
        </w:rPr>
      </w:pPr>
    </w:p>
    <w:p w14:paraId="7A3898D5" w14:textId="77777777" w:rsidR="005A0A21" w:rsidRPr="001D6341" w:rsidRDefault="005A0A21" w:rsidP="005A0A21">
      <w:pPr>
        <w:spacing w:line="276" w:lineRule="auto"/>
        <w:jc w:val="both"/>
        <w:rPr>
          <w:rFonts w:ascii="Arial" w:hAnsi="Arial" w:cs="Arial"/>
          <w:sz w:val="22"/>
          <w:szCs w:val="22"/>
        </w:rPr>
      </w:pPr>
    </w:p>
    <w:p w14:paraId="684C1BC9" w14:textId="77777777" w:rsidR="005A0A21" w:rsidRPr="001D6341" w:rsidRDefault="005A0A21" w:rsidP="005A0A21">
      <w:pPr>
        <w:spacing w:line="276" w:lineRule="auto"/>
        <w:jc w:val="both"/>
        <w:rPr>
          <w:rFonts w:ascii="Arial" w:hAnsi="Arial" w:cs="Arial"/>
          <w:sz w:val="22"/>
          <w:szCs w:val="22"/>
          <w:lang w:val="en-GB"/>
        </w:rPr>
      </w:pPr>
    </w:p>
    <w:p w14:paraId="4AD2EA53" w14:textId="0B8782C3" w:rsidR="005A0A21" w:rsidRPr="001D6341" w:rsidRDefault="005A0A21" w:rsidP="005A0A21">
      <w:pPr>
        <w:spacing w:line="276" w:lineRule="auto"/>
        <w:jc w:val="both"/>
        <w:rPr>
          <w:rFonts w:ascii="Arial" w:hAnsi="Arial" w:cs="Arial"/>
          <w:b/>
          <w:bCs/>
          <w:sz w:val="22"/>
          <w:szCs w:val="22"/>
        </w:rPr>
      </w:pP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Advisory Note Resolution Number: AN 7/202</w:t>
      </w:r>
      <w:r>
        <w:rPr>
          <w:rFonts w:ascii="Arial" w:hAnsi="Arial" w:cs="Arial"/>
          <w:b/>
          <w:bCs/>
          <w:sz w:val="22"/>
          <w:szCs w:val="22"/>
        </w:rPr>
        <w:t>5</w:t>
      </w:r>
    </w:p>
    <w:p w14:paraId="1874591B" w14:textId="77777777" w:rsidR="005A0A21" w:rsidRPr="001D6341" w:rsidRDefault="005A0A21" w:rsidP="005A0A21">
      <w:pPr>
        <w:spacing w:before="100" w:beforeAutospacing="1" w:after="100" w:afterAutospacing="1" w:line="276" w:lineRule="auto"/>
        <w:rPr>
          <w:rFonts w:ascii="Arial" w:eastAsia="Times New Roman" w:hAnsi="Arial" w:cs="Arial"/>
          <w:sz w:val="22"/>
          <w:szCs w:val="22"/>
          <w:lang w:eastAsia="en-ZA"/>
        </w:rPr>
      </w:pPr>
      <w:r w:rsidRPr="001D6341">
        <w:rPr>
          <w:rFonts w:ascii="Arial" w:eastAsia="Times New Roman" w:hAnsi="Arial" w:cs="Arial"/>
          <w:sz w:val="22"/>
          <w:szCs w:val="22"/>
          <w:lang w:eastAsia="en-ZA"/>
        </w:rPr>
        <w:br/>
      </w:r>
      <w:r>
        <w:rPr>
          <w:rFonts w:ascii="Arial" w:eastAsia="Times New Roman" w:hAnsi="Arial" w:cs="Arial"/>
          <w:b/>
          <w:bCs/>
          <w:sz w:val="22"/>
          <w:szCs w:val="22"/>
          <w:lang w:eastAsia="en-ZA"/>
        </w:rPr>
        <w:t xml:space="preserve">Advisory Note on the </w:t>
      </w:r>
      <w:r w:rsidRPr="001D6341">
        <w:rPr>
          <w:rFonts w:ascii="Arial" w:eastAsia="Times New Roman" w:hAnsi="Arial" w:cs="Arial"/>
          <w:b/>
          <w:bCs/>
          <w:sz w:val="22"/>
          <w:szCs w:val="22"/>
          <w:lang w:eastAsia="en-ZA"/>
        </w:rPr>
        <w:t xml:space="preserve">Environmental Responsibilities of </w:t>
      </w:r>
      <w:r>
        <w:rPr>
          <w:rFonts w:ascii="Arial" w:eastAsia="Times New Roman" w:hAnsi="Arial" w:cs="Arial"/>
          <w:b/>
          <w:bCs/>
          <w:sz w:val="22"/>
          <w:szCs w:val="22"/>
          <w:lang w:eastAsia="en-ZA"/>
        </w:rPr>
        <w:t>Registered Person</w:t>
      </w:r>
      <w:r w:rsidRPr="001D6341">
        <w:rPr>
          <w:rFonts w:ascii="Arial" w:eastAsia="Times New Roman" w:hAnsi="Arial" w:cs="Arial"/>
          <w:b/>
          <w:bCs/>
          <w:sz w:val="22"/>
          <w:szCs w:val="22"/>
          <w:lang w:eastAsia="en-ZA"/>
        </w:rPr>
        <w:t>s under the Engineering Council of South Africa (ECSA)</w:t>
      </w:r>
      <w:r>
        <w:rPr>
          <w:rFonts w:ascii="Arial" w:eastAsia="Times New Roman" w:hAnsi="Arial" w:cs="Arial"/>
          <w:b/>
          <w:bCs/>
          <w:sz w:val="22"/>
          <w:szCs w:val="22"/>
          <w:lang w:eastAsia="en-ZA"/>
        </w:rPr>
        <w:t>.</w:t>
      </w:r>
      <w:r w:rsidRPr="001D6341">
        <w:rPr>
          <w:rFonts w:ascii="Arial" w:eastAsia="Times New Roman" w:hAnsi="Arial" w:cs="Arial"/>
          <w:sz w:val="22"/>
          <w:szCs w:val="22"/>
          <w:lang w:eastAsia="en-ZA"/>
        </w:rPr>
        <w:br/>
      </w:r>
    </w:p>
    <w:p w14:paraId="428B2A50" w14:textId="77777777" w:rsidR="005A0A21" w:rsidRPr="001D6341" w:rsidRDefault="005A0A21" w:rsidP="005A0A21">
      <w:pPr>
        <w:spacing w:before="100" w:beforeAutospacing="1" w:after="100" w:afterAutospacing="1" w:line="276" w:lineRule="auto"/>
        <w:ind w:left="567" w:hanging="567"/>
        <w:jc w:val="both"/>
        <w:rPr>
          <w:rFonts w:ascii="Arial" w:eastAsia="Times New Roman" w:hAnsi="Arial" w:cs="Arial"/>
          <w:sz w:val="22"/>
          <w:szCs w:val="22"/>
          <w:lang w:eastAsia="en-ZA"/>
        </w:rPr>
      </w:pPr>
      <w:r w:rsidRPr="001D6341">
        <w:rPr>
          <w:rFonts w:ascii="Arial" w:eastAsia="Times New Roman" w:hAnsi="Arial" w:cs="Arial"/>
          <w:b/>
          <w:bCs/>
          <w:sz w:val="22"/>
          <w:szCs w:val="22"/>
          <w:lang w:eastAsia="en-ZA"/>
        </w:rPr>
        <w:t>Introduction</w:t>
      </w:r>
    </w:p>
    <w:p w14:paraId="6FE3202B" w14:textId="77777777" w:rsidR="005A0A21" w:rsidRPr="00F073CB"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 xml:space="preserve">This advisory note highlights the environmental responsibilities of persons registered with the Engineering Council of South Africa (ECSA), in accordance with the Constitution, environmental legislation, the Engineering Profession Act, and ECSA’s Rules of Code of Conduct for </w:t>
      </w:r>
      <w:r>
        <w:rPr>
          <w:rFonts w:ascii="Arial" w:eastAsia="Times New Roman" w:hAnsi="Arial" w:cs="Arial"/>
          <w:lang w:eastAsia="en-ZA"/>
        </w:rPr>
        <w:t>Registered Person</w:t>
      </w:r>
      <w:r w:rsidRPr="00F073CB">
        <w:rPr>
          <w:rFonts w:ascii="Arial" w:eastAsia="Times New Roman" w:hAnsi="Arial" w:cs="Arial"/>
          <w:lang w:eastAsia="en-ZA"/>
        </w:rPr>
        <w:t xml:space="preserve">s. </w:t>
      </w:r>
      <w:r>
        <w:rPr>
          <w:rFonts w:ascii="Arial" w:eastAsia="Times New Roman" w:hAnsi="Arial" w:cs="Arial"/>
          <w:lang w:eastAsia="en-ZA"/>
        </w:rPr>
        <w:t>Registered Person</w:t>
      </w:r>
      <w:r w:rsidRPr="00F073CB">
        <w:rPr>
          <w:rFonts w:ascii="Arial" w:eastAsia="Times New Roman" w:hAnsi="Arial" w:cs="Arial"/>
          <w:lang w:eastAsia="en-ZA"/>
        </w:rPr>
        <w:t xml:space="preserve">s hold a critical influence over how infrastructure and natural resources are developed, utilised, and conserved, it is essential that they discharge their duties with due regard for environmental protection, sustainable development, and public interest. This document clarifies the legal, ethical, and professional standards expected of </w:t>
      </w:r>
      <w:r>
        <w:rPr>
          <w:rFonts w:ascii="Arial" w:eastAsia="Times New Roman" w:hAnsi="Arial" w:cs="Arial"/>
          <w:lang w:eastAsia="en-ZA"/>
        </w:rPr>
        <w:t>Registered Person</w:t>
      </w:r>
      <w:r w:rsidRPr="00F073CB">
        <w:rPr>
          <w:rFonts w:ascii="Arial" w:eastAsia="Times New Roman" w:hAnsi="Arial" w:cs="Arial"/>
          <w:lang w:eastAsia="en-ZA"/>
        </w:rPr>
        <w:t>s and provides guidance on fulfilling these obligations in line with South African law and international best practices.</w:t>
      </w:r>
    </w:p>
    <w:p w14:paraId="7755FB0B" w14:textId="77777777" w:rsidR="005A0A21" w:rsidRPr="001D6341" w:rsidRDefault="005A0A21" w:rsidP="005A0A21">
      <w:pPr>
        <w:spacing w:line="276" w:lineRule="auto"/>
        <w:ind w:left="567" w:hanging="567"/>
        <w:jc w:val="both"/>
        <w:rPr>
          <w:rFonts w:ascii="Arial" w:eastAsia="Times New Roman" w:hAnsi="Arial" w:cs="Arial"/>
          <w:sz w:val="22"/>
          <w:szCs w:val="22"/>
          <w:lang w:eastAsia="en-ZA"/>
        </w:rPr>
      </w:pPr>
    </w:p>
    <w:p w14:paraId="388CC4B7" w14:textId="77777777" w:rsidR="005A0A21" w:rsidRPr="001D6341" w:rsidRDefault="005A0A21" w:rsidP="005A0A21">
      <w:pPr>
        <w:spacing w:before="100" w:beforeAutospacing="1" w:after="100" w:afterAutospacing="1" w:line="276" w:lineRule="auto"/>
        <w:ind w:left="567" w:hanging="567"/>
        <w:jc w:val="both"/>
        <w:rPr>
          <w:rFonts w:ascii="Arial" w:eastAsia="Times New Roman" w:hAnsi="Arial" w:cs="Arial"/>
          <w:sz w:val="22"/>
          <w:szCs w:val="22"/>
          <w:lang w:eastAsia="en-ZA"/>
        </w:rPr>
      </w:pPr>
      <w:r w:rsidRPr="001D6341">
        <w:rPr>
          <w:rFonts w:ascii="Arial" w:eastAsia="Times New Roman" w:hAnsi="Arial" w:cs="Arial"/>
          <w:b/>
          <w:bCs/>
          <w:sz w:val="22"/>
          <w:szCs w:val="22"/>
          <w:lang w:eastAsia="en-ZA"/>
        </w:rPr>
        <w:t>Legal Framework Governing Environmental Responsibilities</w:t>
      </w:r>
    </w:p>
    <w:p w14:paraId="0B6373BB"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 xml:space="preserve">South Africa’s environmental framework is grounded in the Constitution of the Republic of South Africa, 1996, which, in section 24, affirms every person’s right to an environment that is not harmful to their health or well-being. It obliges the </w:t>
      </w:r>
      <w:r>
        <w:rPr>
          <w:rFonts w:ascii="Arial" w:eastAsia="Times New Roman" w:hAnsi="Arial" w:cs="Arial"/>
          <w:lang w:eastAsia="en-ZA"/>
        </w:rPr>
        <w:t>government</w:t>
      </w:r>
      <w:r w:rsidRPr="00F073CB">
        <w:rPr>
          <w:rFonts w:ascii="Arial" w:eastAsia="Times New Roman" w:hAnsi="Arial" w:cs="Arial"/>
          <w:lang w:eastAsia="en-ZA"/>
        </w:rPr>
        <w:t>, and by extension individuals and professionals, to take reasonable legislative and other measures to prevent pollution, promote conservation, and secure sustainable development. This provision forms the cornerstone of all environmental legislation and policy in South Africa.</w:t>
      </w:r>
    </w:p>
    <w:p w14:paraId="015B78D9" w14:textId="77777777" w:rsidR="005A0A21" w:rsidRDefault="005A0A21" w:rsidP="005A0A21">
      <w:pPr>
        <w:pStyle w:val="ListParagraph"/>
        <w:spacing w:before="100" w:beforeAutospacing="1" w:after="100" w:afterAutospacing="1" w:line="276" w:lineRule="auto"/>
        <w:ind w:left="567" w:hanging="567"/>
        <w:jc w:val="both"/>
        <w:rPr>
          <w:rFonts w:ascii="Arial" w:eastAsia="Times New Roman" w:hAnsi="Arial" w:cs="Arial"/>
          <w:lang w:eastAsia="en-ZA"/>
        </w:rPr>
      </w:pPr>
    </w:p>
    <w:p w14:paraId="2D37BAE1"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One of the key legislative instruments that gives effect to this constitutional right is the National Environmental Management Act 107 of 1998 (NEMA). NEMA introduces essential environmental management principles applicable to all decision-making, including those made by engineering professionals. Among these principles are the need to prevent pollution and degradation, to act cautiously when there is scientific uncertainty about environmental impact, to ensure that those responsible for environmental harm bear the costs of remediation, and to balance environmental, social, and economic considerations in pursuit of sustainable development</w:t>
      </w:r>
      <w:r>
        <w:rPr>
          <w:rFonts w:ascii="Arial" w:eastAsia="Times New Roman" w:hAnsi="Arial" w:cs="Arial"/>
          <w:lang w:eastAsia="en-ZA"/>
        </w:rPr>
        <w:t>.</w:t>
      </w:r>
    </w:p>
    <w:p w14:paraId="4E091D5C" w14:textId="77777777" w:rsidR="005A0A21" w:rsidRPr="005645AF" w:rsidRDefault="005A0A21" w:rsidP="005A0A21">
      <w:pPr>
        <w:spacing w:before="100" w:beforeAutospacing="1" w:after="100" w:afterAutospacing="1" w:line="276" w:lineRule="auto"/>
        <w:jc w:val="both"/>
        <w:rPr>
          <w:rFonts w:ascii="Arial" w:eastAsia="Times New Roman" w:hAnsi="Arial" w:cs="Arial"/>
          <w:lang w:eastAsia="en-ZA"/>
        </w:rPr>
      </w:pPr>
    </w:p>
    <w:p w14:paraId="4EB82CAC"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lastRenderedPageBreak/>
        <w:t xml:space="preserve">Importantly, section 28 of NEMA imposes a general duty of care on any person whose actions may cause significant pollution or degradation of the environment. This duty compels registered professionals to take all reasonable steps to avoid, minimize, or rectify environmental damage. The duty applies regardless of whether the activity was lawful or authorised. Furthermore, </w:t>
      </w:r>
      <w:r>
        <w:rPr>
          <w:rFonts w:ascii="Arial" w:eastAsia="Times New Roman" w:hAnsi="Arial" w:cs="Arial"/>
          <w:lang w:eastAsia="en-ZA"/>
        </w:rPr>
        <w:t>Registered Person</w:t>
      </w:r>
      <w:r w:rsidRPr="00F073CB">
        <w:rPr>
          <w:rFonts w:ascii="Arial" w:eastAsia="Times New Roman" w:hAnsi="Arial" w:cs="Arial"/>
          <w:lang w:eastAsia="en-ZA"/>
        </w:rPr>
        <w:t>s are often involved in engineering projects that fall within the scope of NEMA’s Environmental Impact Assessment (EIA) Regulations. These regulations require environmental authorisation prior to the commencement of listed activities. Professionals</w:t>
      </w:r>
      <w:r>
        <w:rPr>
          <w:rFonts w:ascii="Arial" w:eastAsia="Times New Roman" w:hAnsi="Arial" w:cs="Arial"/>
          <w:lang w:eastAsia="en-ZA"/>
        </w:rPr>
        <w:t>, including Registered Persons,</w:t>
      </w:r>
      <w:r w:rsidRPr="00F073CB">
        <w:rPr>
          <w:rFonts w:ascii="Arial" w:eastAsia="Times New Roman" w:hAnsi="Arial" w:cs="Arial"/>
          <w:lang w:eastAsia="en-ZA"/>
        </w:rPr>
        <w:t xml:space="preserve"> must, therefore, ensure that no engineering work proceeds in violation of EIA requirements, and must assist clients</w:t>
      </w:r>
      <w:r>
        <w:rPr>
          <w:rFonts w:ascii="Arial" w:eastAsia="Times New Roman" w:hAnsi="Arial" w:cs="Arial"/>
          <w:lang w:eastAsia="en-ZA"/>
        </w:rPr>
        <w:t xml:space="preserve">, </w:t>
      </w:r>
      <w:r w:rsidRPr="00F073CB">
        <w:rPr>
          <w:rFonts w:ascii="Arial" w:eastAsia="Times New Roman" w:hAnsi="Arial" w:cs="Arial"/>
          <w:lang w:eastAsia="en-ZA"/>
        </w:rPr>
        <w:t>project owners</w:t>
      </w:r>
      <w:r>
        <w:rPr>
          <w:rFonts w:ascii="Arial" w:eastAsia="Times New Roman" w:hAnsi="Arial" w:cs="Arial"/>
          <w:lang w:eastAsia="en-ZA"/>
        </w:rPr>
        <w:t>, and other stakeholders</w:t>
      </w:r>
      <w:r w:rsidRPr="00F073CB">
        <w:rPr>
          <w:rFonts w:ascii="Arial" w:eastAsia="Times New Roman" w:hAnsi="Arial" w:cs="Arial"/>
          <w:lang w:eastAsia="en-ZA"/>
        </w:rPr>
        <w:t xml:space="preserve"> in understanding and fulfilling their legal obligations in this regard.</w:t>
      </w:r>
    </w:p>
    <w:p w14:paraId="0A96A757" w14:textId="77777777" w:rsidR="005A0A21" w:rsidRPr="00F073CB" w:rsidRDefault="005A0A21" w:rsidP="005A0A21">
      <w:pPr>
        <w:pStyle w:val="ListParagraph"/>
        <w:spacing w:line="276" w:lineRule="auto"/>
        <w:ind w:left="567" w:hanging="567"/>
        <w:rPr>
          <w:rFonts w:ascii="Arial" w:eastAsia="Times New Roman" w:hAnsi="Arial" w:cs="Arial"/>
          <w:lang w:eastAsia="en-ZA"/>
        </w:rPr>
      </w:pPr>
    </w:p>
    <w:p w14:paraId="509E7AD0"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The Engineering Profession Act 46 of 2000</w:t>
      </w:r>
      <w:r>
        <w:rPr>
          <w:rFonts w:ascii="Arial" w:eastAsia="Times New Roman" w:hAnsi="Arial" w:cs="Arial"/>
          <w:lang w:eastAsia="en-ZA"/>
        </w:rPr>
        <w:t xml:space="preserve"> (“Act”)</w:t>
      </w:r>
      <w:r w:rsidRPr="00F073CB">
        <w:rPr>
          <w:rFonts w:ascii="Arial" w:eastAsia="Times New Roman" w:hAnsi="Arial" w:cs="Arial"/>
          <w:lang w:eastAsia="en-ZA"/>
        </w:rPr>
        <w:t xml:space="preserve"> establishes ECSA’s authority to regulate the profession and sets out disciplinary measures for improper conduct. </w:t>
      </w:r>
      <w:r>
        <w:rPr>
          <w:rFonts w:ascii="Arial" w:eastAsia="Times New Roman" w:hAnsi="Arial" w:cs="Arial"/>
          <w:lang w:eastAsia="en-ZA"/>
        </w:rPr>
        <w:t xml:space="preserve">The </w:t>
      </w:r>
      <w:r w:rsidRPr="00F073CB">
        <w:rPr>
          <w:rFonts w:ascii="Arial" w:eastAsia="Times New Roman" w:hAnsi="Arial" w:cs="Arial"/>
          <w:lang w:eastAsia="en-ZA"/>
        </w:rPr>
        <w:t xml:space="preserve">Act </w:t>
      </w:r>
      <w:r>
        <w:rPr>
          <w:rFonts w:ascii="Arial" w:eastAsia="Times New Roman" w:hAnsi="Arial" w:cs="Arial"/>
          <w:lang w:eastAsia="en-ZA"/>
        </w:rPr>
        <w:t>empowers</w:t>
      </w:r>
      <w:r w:rsidRPr="00F073CB">
        <w:rPr>
          <w:rFonts w:ascii="Arial" w:eastAsia="Times New Roman" w:hAnsi="Arial" w:cs="Arial"/>
          <w:lang w:eastAsia="en-ZA"/>
        </w:rPr>
        <w:t xml:space="preserve"> ECSA to prescribe rules of conduct, define the scope of work for </w:t>
      </w:r>
      <w:r>
        <w:rPr>
          <w:rFonts w:ascii="Arial" w:eastAsia="Times New Roman" w:hAnsi="Arial" w:cs="Arial"/>
          <w:lang w:eastAsia="en-ZA"/>
        </w:rPr>
        <w:t>Registered Person</w:t>
      </w:r>
      <w:r w:rsidRPr="00F073CB">
        <w:rPr>
          <w:rFonts w:ascii="Arial" w:eastAsia="Times New Roman" w:hAnsi="Arial" w:cs="Arial"/>
          <w:lang w:eastAsia="en-ZA"/>
        </w:rPr>
        <w:t xml:space="preserve">s, and initiate proceedings where a </w:t>
      </w:r>
      <w:r>
        <w:rPr>
          <w:rFonts w:ascii="Arial" w:eastAsia="Times New Roman" w:hAnsi="Arial" w:cs="Arial"/>
          <w:lang w:eastAsia="en-ZA"/>
        </w:rPr>
        <w:t>Registered Person</w:t>
      </w:r>
      <w:r w:rsidRPr="00F073CB">
        <w:rPr>
          <w:rFonts w:ascii="Arial" w:eastAsia="Times New Roman" w:hAnsi="Arial" w:cs="Arial"/>
          <w:lang w:eastAsia="en-ZA"/>
        </w:rPr>
        <w:t xml:space="preserve">’s actions may have contravened professional standards or posed a risk to public safety or the environment. </w:t>
      </w:r>
    </w:p>
    <w:p w14:paraId="6ADA5EF8" w14:textId="77777777" w:rsidR="005A0A21" w:rsidRPr="00F073CB" w:rsidRDefault="005A0A21" w:rsidP="005A0A21">
      <w:pPr>
        <w:pStyle w:val="ListParagraph"/>
        <w:spacing w:line="276" w:lineRule="auto"/>
        <w:ind w:left="567" w:hanging="567"/>
        <w:rPr>
          <w:rFonts w:ascii="Arial" w:eastAsia="Times New Roman" w:hAnsi="Arial" w:cs="Arial"/>
          <w:lang w:eastAsia="en-ZA"/>
        </w:rPr>
      </w:pPr>
    </w:p>
    <w:p w14:paraId="567A2F07" w14:textId="77777777" w:rsidR="005A0A21" w:rsidRPr="00F073CB"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 xml:space="preserve">ECSA’s </w:t>
      </w:r>
      <w:r>
        <w:rPr>
          <w:rFonts w:ascii="Arial" w:eastAsia="Times New Roman" w:hAnsi="Arial" w:cs="Arial"/>
          <w:lang w:eastAsia="en-ZA"/>
        </w:rPr>
        <w:t>Rules of Conduct for Registered Persons reinforce</w:t>
      </w:r>
      <w:r w:rsidRPr="00F073CB">
        <w:rPr>
          <w:rFonts w:ascii="Arial" w:eastAsia="Times New Roman" w:hAnsi="Arial" w:cs="Arial"/>
          <w:lang w:eastAsia="en-ZA"/>
        </w:rPr>
        <w:t xml:space="preserve"> these duties by requiring </w:t>
      </w:r>
      <w:r>
        <w:rPr>
          <w:rFonts w:ascii="Arial" w:eastAsia="Times New Roman" w:hAnsi="Arial" w:cs="Arial"/>
          <w:lang w:eastAsia="en-ZA"/>
        </w:rPr>
        <w:t>Registered Person</w:t>
      </w:r>
      <w:r w:rsidRPr="00F073CB">
        <w:rPr>
          <w:rFonts w:ascii="Arial" w:eastAsia="Times New Roman" w:hAnsi="Arial" w:cs="Arial"/>
          <w:lang w:eastAsia="en-ZA"/>
        </w:rPr>
        <w:t>s to act in the public interest, demonstrate integrity and competence, and avoid conduct that brings the profession into disrepute. These obligations necessarily extend to environmental matters, particularly where engineering decisions may result in pollution, unsafe infrastructure, environmental degradation, or harm to biodiversity and natural resources.</w:t>
      </w:r>
    </w:p>
    <w:p w14:paraId="286AFEC7" w14:textId="77777777" w:rsidR="005A0A21" w:rsidRPr="001D6341" w:rsidRDefault="005A0A21" w:rsidP="005A0A21">
      <w:pPr>
        <w:spacing w:line="276" w:lineRule="auto"/>
        <w:jc w:val="both"/>
        <w:rPr>
          <w:rFonts w:ascii="Arial" w:eastAsia="Times New Roman" w:hAnsi="Arial" w:cs="Arial"/>
          <w:sz w:val="22"/>
          <w:szCs w:val="22"/>
          <w:lang w:eastAsia="en-ZA"/>
        </w:rPr>
      </w:pPr>
    </w:p>
    <w:p w14:paraId="2BBCECF7" w14:textId="77777777" w:rsidR="005A0A21" w:rsidRPr="001D6341" w:rsidRDefault="005A0A21" w:rsidP="005A0A21">
      <w:pPr>
        <w:spacing w:before="100" w:beforeAutospacing="1" w:after="100" w:afterAutospacing="1" w:line="276" w:lineRule="auto"/>
        <w:ind w:left="567" w:hanging="567"/>
        <w:jc w:val="both"/>
        <w:rPr>
          <w:rFonts w:ascii="Arial" w:eastAsia="Times New Roman" w:hAnsi="Arial" w:cs="Arial"/>
          <w:sz w:val="22"/>
          <w:szCs w:val="22"/>
          <w:lang w:eastAsia="en-ZA"/>
        </w:rPr>
      </w:pPr>
      <w:r w:rsidRPr="001D6341">
        <w:rPr>
          <w:rFonts w:ascii="Arial" w:eastAsia="Times New Roman" w:hAnsi="Arial" w:cs="Arial"/>
          <w:b/>
          <w:bCs/>
          <w:sz w:val="22"/>
          <w:szCs w:val="22"/>
          <w:lang w:eastAsia="en-ZA"/>
        </w:rPr>
        <w:t xml:space="preserve">Statutory Duties of </w:t>
      </w:r>
      <w:r>
        <w:rPr>
          <w:rFonts w:ascii="Arial" w:eastAsia="Times New Roman" w:hAnsi="Arial" w:cs="Arial"/>
          <w:b/>
          <w:bCs/>
          <w:sz w:val="22"/>
          <w:szCs w:val="22"/>
          <w:lang w:eastAsia="en-ZA"/>
        </w:rPr>
        <w:t>Registered Person</w:t>
      </w:r>
      <w:r w:rsidRPr="001D6341">
        <w:rPr>
          <w:rFonts w:ascii="Arial" w:eastAsia="Times New Roman" w:hAnsi="Arial" w:cs="Arial"/>
          <w:b/>
          <w:bCs/>
          <w:sz w:val="22"/>
          <w:szCs w:val="22"/>
          <w:lang w:eastAsia="en-ZA"/>
        </w:rPr>
        <w:t>s Towards the Environment</w:t>
      </w:r>
    </w:p>
    <w:p w14:paraId="09DB7CF3"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7C040B">
        <w:rPr>
          <w:rFonts w:ascii="Arial" w:eastAsia="Times New Roman" w:hAnsi="Arial" w:cs="Arial"/>
          <w:lang w:eastAsia="en-ZA"/>
        </w:rPr>
        <w:t>Registered Persons bear a wide range of environmental responsibilities, arising both from legislation and the nature of their professional work. One of the foremost duties is to ensure that, where engineering activities may impact the environment, those impacts are properly assessed and managed. This involves identifying whether a proposed project is subject to the EIA Regulations issued under NEMA and, if so, ensuring that the appropriate environmental assessments are conducted and approvals are obtained before work commences. Registered professionals must not support or enable clients to bypass these legal requirements, and they should work collaboratively with environmental assessment practitioners and authorities to ensure full compliance with the law.</w:t>
      </w:r>
    </w:p>
    <w:p w14:paraId="4455391D" w14:textId="77777777" w:rsidR="005A0A21" w:rsidRDefault="005A0A21" w:rsidP="005A0A21">
      <w:pPr>
        <w:spacing w:before="100" w:beforeAutospacing="1" w:after="100" w:afterAutospacing="1" w:line="276" w:lineRule="auto"/>
        <w:jc w:val="both"/>
        <w:rPr>
          <w:rFonts w:ascii="Arial" w:eastAsia="Times New Roman" w:hAnsi="Arial" w:cs="Arial"/>
          <w:lang w:eastAsia="en-ZA"/>
        </w:rPr>
      </w:pPr>
    </w:p>
    <w:p w14:paraId="147CE847" w14:textId="77777777" w:rsidR="005A0A21" w:rsidRDefault="005A0A21" w:rsidP="005A0A21">
      <w:pPr>
        <w:spacing w:before="100" w:beforeAutospacing="1" w:after="100" w:afterAutospacing="1" w:line="276" w:lineRule="auto"/>
        <w:jc w:val="both"/>
        <w:rPr>
          <w:rFonts w:ascii="Arial" w:eastAsia="Times New Roman" w:hAnsi="Arial" w:cs="Arial"/>
          <w:lang w:eastAsia="en-ZA"/>
        </w:rPr>
      </w:pPr>
    </w:p>
    <w:p w14:paraId="16E79DFF" w14:textId="77777777" w:rsidR="005A0A21" w:rsidRPr="007C040B" w:rsidRDefault="005A0A21" w:rsidP="005A0A21">
      <w:pPr>
        <w:spacing w:before="100" w:beforeAutospacing="1" w:after="100" w:afterAutospacing="1" w:line="276" w:lineRule="auto"/>
        <w:jc w:val="both"/>
        <w:rPr>
          <w:rFonts w:ascii="Arial" w:eastAsia="Times New Roman" w:hAnsi="Arial" w:cs="Arial"/>
          <w:lang w:eastAsia="en-ZA"/>
        </w:rPr>
      </w:pPr>
    </w:p>
    <w:p w14:paraId="4EA50DF0"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lastRenderedPageBreak/>
        <w:t xml:space="preserve">Another core obligation stems from section 28 of NEMA, which requires every person who causes, has caused, or may cause significant pollution or degradation to take reasonable steps to prevent or minimise such harm. In the context of engineering work, this means </w:t>
      </w:r>
      <w:r>
        <w:rPr>
          <w:rFonts w:ascii="Arial" w:eastAsia="Times New Roman" w:hAnsi="Arial" w:cs="Arial"/>
          <w:lang w:eastAsia="en-ZA"/>
        </w:rPr>
        <w:t>Registered Person</w:t>
      </w:r>
      <w:r w:rsidRPr="00F073CB">
        <w:rPr>
          <w:rFonts w:ascii="Arial" w:eastAsia="Times New Roman" w:hAnsi="Arial" w:cs="Arial"/>
          <w:lang w:eastAsia="en-ZA"/>
        </w:rPr>
        <w:t xml:space="preserve">s must identify and mitigate environmental risks during </w:t>
      </w:r>
      <w:r>
        <w:rPr>
          <w:rFonts w:ascii="Arial" w:eastAsia="Times New Roman" w:hAnsi="Arial" w:cs="Arial"/>
          <w:lang w:eastAsia="en-ZA"/>
        </w:rPr>
        <w:t xml:space="preserve">the </w:t>
      </w:r>
      <w:r w:rsidRPr="00F073CB">
        <w:rPr>
          <w:rFonts w:ascii="Arial" w:eastAsia="Times New Roman" w:hAnsi="Arial" w:cs="Arial"/>
          <w:lang w:eastAsia="en-ZA"/>
        </w:rPr>
        <w:t>planning, design, and execution phases. Where pollution has already occurred, they must take or recommend appropriate remedial action. This duty applies even in cases where engineering activities are permitted or authorised, making it a continuous responsibility that does not lapse simply because the necessary permits have been obtained.</w:t>
      </w:r>
    </w:p>
    <w:p w14:paraId="2D1482E9" w14:textId="77777777" w:rsidR="005A0A21" w:rsidRPr="00F073CB" w:rsidRDefault="005A0A21" w:rsidP="005A0A21">
      <w:pPr>
        <w:pStyle w:val="ListParagraph"/>
        <w:spacing w:line="276" w:lineRule="auto"/>
        <w:ind w:left="567" w:hanging="567"/>
        <w:rPr>
          <w:rFonts w:ascii="Arial" w:eastAsia="Times New Roman" w:hAnsi="Arial" w:cs="Arial"/>
          <w:lang w:eastAsia="en-ZA"/>
        </w:rPr>
      </w:pPr>
    </w:p>
    <w:p w14:paraId="06EEEC81"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 xml:space="preserve">Engineering professionals are frequently involved in sectors where compliance with other environmental laws is required. These include the National Water Act 36 of 1998, which governs the use, protection, and management of South Africa’s water resources; the National Environmental Management: Waste Act 59 of 2008, which regulates waste generation and disposal; and the National Environmental Management: Air Quality Act 39 of 2004, which addresses air pollution. </w:t>
      </w:r>
      <w:r>
        <w:rPr>
          <w:rFonts w:ascii="Arial" w:eastAsia="Times New Roman" w:hAnsi="Arial" w:cs="Arial"/>
          <w:lang w:eastAsia="en-ZA"/>
        </w:rPr>
        <w:t>Registered Person</w:t>
      </w:r>
      <w:r w:rsidRPr="00F073CB">
        <w:rPr>
          <w:rFonts w:ascii="Arial" w:eastAsia="Times New Roman" w:hAnsi="Arial" w:cs="Arial"/>
          <w:lang w:eastAsia="en-ZA"/>
        </w:rPr>
        <w:t>s involved in water-intensive or emission-producing projects must understand how these laws apply to their work and must ensure that their designs and implementation strategies comply with the relevant standards and authorisation requirements.</w:t>
      </w:r>
    </w:p>
    <w:p w14:paraId="16F3CBC2" w14:textId="77777777" w:rsidR="005A0A21" w:rsidRPr="00F073CB" w:rsidRDefault="005A0A21" w:rsidP="005A0A21">
      <w:pPr>
        <w:pStyle w:val="ListParagraph"/>
        <w:spacing w:line="276" w:lineRule="auto"/>
        <w:ind w:left="567" w:hanging="567"/>
        <w:rPr>
          <w:rFonts w:ascii="Arial" w:eastAsia="Times New Roman" w:hAnsi="Arial" w:cs="Arial"/>
          <w:lang w:eastAsia="en-ZA"/>
        </w:rPr>
      </w:pPr>
    </w:p>
    <w:p w14:paraId="21DCA27A"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 xml:space="preserve">Where projects involve hazardous substances or take place on contaminated land, </w:t>
      </w:r>
      <w:r>
        <w:rPr>
          <w:rFonts w:ascii="Arial" w:eastAsia="Times New Roman" w:hAnsi="Arial" w:cs="Arial"/>
          <w:lang w:eastAsia="en-ZA"/>
        </w:rPr>
        <w:t>Registered Person</w:t>
      </w:r>
      <w:r w:rsidRPr="00F073CB">
        <w:rPr>
          <w:rFonts w:ascii="Arial" w:eastAsia="Times New Roman" w:hAnsi="Arial" w:cs="Arial"/>
          <w:lang w:eastAsia="en-ZA"/>
        </w:rPr>
        <w:t xml:space="preserve">s may have obligations in terms of site assessments, hazardous waste management, and remediation. This includes identifying the presence of asbestos, heavy metals, or chemical contamination, and ensuring that appropriate risk assessments and mitigation plans are in place. </w:t>
      </w:r>
      <w:r>
        <w:rPr>
          <w:rFonts w:ascii="Arial" w:eastAsia="Times New Roman" w:hAnsi="Arial" w:cs="Arial"/>
          <w:lang w:eastAsia="en-ZA"/>
        </w:rPr>
        <w:t>Registered Person</w:t>
      </w:r>
      <w:r w:rsidRPr="00F073CB">
        <w:rPr>
          <w:rFonts w:ascii="Arial" w:eastAsia="Times New Roman" w:hAnsi="Arial" w:cs="Arial"/>
          <w:lang w:eastAsia="en-ZA"/>
        </w:rPr>
        <w:t>s may also have responsibilities under the Contaminated Land provisions of NEMA, which require reporting of contaminated sites and, in some cases, participation in the remediation process.</w:t>
      </w:r>
    </w:p>
    <w:p w14:paraId="2851E35C" w14:textId="77777777" w:rsidR="005A0A21" w:rsidRPr="00F073CB" w:rsidRDefault="005A0A21" w:rsidP="005A0A21">
      <w:pPr>
        <w:pStyle w:val="ListParagraph"/>
        <w:spacing w:line="276" w:lineRule="auto"/>
        <w:ind w:left="567" w:hanging="567"/>
        <w:rPr>
          <w:rFonts w:ascii="Arial" w:eastAsia="Times New Roman" w:hAnsi="Arial" w:cs="Arial"/>
          <w:lang w:eastAsia="en-ZA"/>
        </w:rPr>
      </w:pPr>
    </w:p>
    <w:p w14:paraId="688C0D5F"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 xml:space="preserve">Moreover, engineering work often affects communities, ecosystems, and public resources. </w:t>
      </w:r>
      <w:r>
        <w:rPr>
          <w:rFonts w:ascii="Arial" w:eastAsia="Times New Roman" w:hAnsi="Arial" w:cs="Arial"/>
          <w:lang w:eastAsia="en-ZA"/>
        </w:rPr>
        <w:t>Registered Person</w:t>
      </w:r>
      <w:r w:rsidRPr="00F073CB">
        <w:rPr>
          <w:rFonts w:ascii="Arial" w:eastAsia="Times New Roman" w:hAnsi="Arial" w:cs="Arial"/>
          <w:lang w:eastAsia="en-ZA"/>
        </w:rPr>
        <w:t>s must uphold principles of transparency, public participation, and access to information when their work may have environmental consequences. They should support public consultation processes required under NEMA, provide honest and accurate information to stakeholders, and ensure that the potential environmental impacts of engineering projects are clearly communicated and considered in the decision-making process.</w:t>
      </w:r>
    </w:p>
    <w:p w14:paraId="5FE9E441" w14:textId="77777777" w:rsidR="005A0A21" w:rsidRPr="00CA35D2" w:rsidRDefault="005A0A21" w:rsidP="005A0A21">
      <w:pPr>
        <w:pStyle w:val="ListParagraph"/>
        <w:rPr>
          <w:rFonts w:ascii="Arial" w:eastAsia="Times New Roman" w:hAnsi="Arial" w:cs="Arial"/>
          <w:lang w:eastAsia="en-ZA"/>
        </w:rPr>
      </w:pPr>
    </w:p>
    <w:p w14:paraId="2AE67D49" w14:textId="77777777" w:rsidR="005A0A21" w:rsidRDefault="005A0A21" w:rsidP="005A0A21">
      <w:pPr>
        <w:spacing w:before="100" w:beforeAutospacing="1" w:after="100" w:afterAutospacing="1" w:line="276" w:lineRule="auto"/>
        <w:jc w:val="both"/>
        <w:rPr>
          <w:rFonts w:ascii="Arial" w:eastAsia="Times New Roman" w:hAnsi="Arial" w:cs="Arial"/>
          <w:lang w:eastAsia="en-ZA"/>
        </w:rPr>
      </w:pPr>
    </w:p>
    <w:p w14:paraId="67613408" w14:textId="77777777" w:rsidR="005A0A21" w:rsidRDefault="005A0A21" w:rsidP="005A0A21">
      <w:pPr>
        <w:spacing w:before="100" w:beforeAutospacing="1" w:after="100" w:afterAutospacing="1" w:line="276" w:lineRule="auto"/>
        <w:jc w:val="both"/>
        <w:rPr>
          <w:rFonts w:ascii="Arial" w:eastAsia="Times New Roman" w:hAnsi="Arial" w:cs="Arial"/>
          <w:lang w:eastAsia="en-ZA"/>
        </w:rPr>
      </w:pPr>
    </w:p>
    <w:p w14:paraId="171600EF" w14:textId="77777777" w:rsidR="005A0A21" w:rsidRDefault="005A0A21" w:rsidP="005A0A21">
      <w:pPr>
        <w:spacing w:before="100" w:beforeAutospacing="1" w:after="100" w:afterAutospacing="1" w:line="276" w:lineRule="auto"/>
        <w:jc w:val="both"/>
        <w:rPr>
          <w:rFonts w:ascii="Arial" w:eastAsia="Times New Roman" w:hAnsi="Arial" w:cs="Arial"/>
          <w:lang w:eastAsia="en-ZA"/>
        </w:rPr>
      </w:pPr>
    </w:p>
    <w:p w14:paraId="422E8520" w14:textId="77777777" w:rsidR="005A0A21" w:rsidRDefault="005A0A21" w:rsidP="005A0A21">
      <w:pPr>
        <w:spacing w:before="100" w:beforeAutospacing="1" w:after="100" w:afterAutospacing="1" w:line="276" w:lineRule="auto"/>
        <w:jc w:val="both"/>
        <w:rPr>
          <w:rFonts w:ascii="Arial" w:eastAsia="Times New Roman" w:hAnsi="Arial" w:cs="Arial"/>
          <w:lang w:eastAsia="en-ZA"/>
        </w:rPr>
      </w:pPr>
    </w:p>
    <w:p w14:paraId="0DB5EE3A" w14:textId="77777777" w:rsidR="005A0A21" w:rsidRPr="00CA35D2" w:rsidRDefault="005A0A21" w:rsidP="005A0A21">
      <w:pPr>
        <w:spacing w:before="100" w:beforeAutospacing="1" w:after="100" w:afterAutospacing="1" w:line="276" w:lineRule="auto"/>
        <w:jc w:val="both"/>
        <w:rPr>
          <w:rFonts w:ascii="Arial" w:eastAsia="Times New Roman" w:hAnsi="Arial" w:cs="Arial"/>
          <w:lang w:eastAsia="en-ZA"/>
        </w:rPr>
      </w:pPr>
    </w:p>
    <w:p w14:paraId="1780D322" w14:textId="77777777" w:rsidR="005A0A21" w:rsidRPr="001D6341" w:rsidRDefault="005A0A21" w:rsidP="005A0A21">
      <w:pPr>
        <w:spacing w:before="100" w:beforeAutospacing="1" w:after="100" w:afterAutospacing="1" w:line="276" w:lineRule="auto"/>
        <w:ind w:left="567" w:hanging="567"/>
        <w:jc w:val="both"/>
        <w:rPr>
          <w:rFonts w:ascii="Arial" w:eastAsia="Times New Roman" w:hAnsi="Arial" w:cs="Arial"/>
          <w:sz w:val="22"/>
          <w:szCs w:val="22"/>
          <w:lang w:eastAsia="en-ZA"/>
        </w:rPr>
      </w:pPr>
      <w:r w:rsidRPr="001D6341">
        <w:rPr>
          <w:rFonts w:ascii="Arial" w:eastAsia="Times New Roman" w:hAnsi="Arial" w:cs="Arial"/>
          <w:b/>
          <w:bCs/>
          <w:sz w:val="22"/>
          <w:szCs w:val="22"/>
          <w:lang w:eastAsia="en-ZA"/>
        </w:rPr>
        <w:lastRenderedPageBreak/>
        <w:t>Professional and Ethical Best Practices</w:t>
      </w:r>
    </w:p>
    <w:p w14:paraId="44306B56" w14:textId="77777777" w:rsidR="005A0A21" w:rsidRPr="001A5C54"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 xml:space="preserve">Beyond minimum legal compliance, ECSA expects </w:t>
      </w:r>
      <w:r>
        <w:rPr>
          <w:rFonts w:ascii="Arial" w:eastAsia="Times New Roman" w:hAnsi="Arial" w:cs="Arial"/>
          <w:lang w:eastAsia="en-ZA"/>
        </w:rPr>
        <w:t>Registered Person</w:t>
      </w:r>
      <w:r w:rsidRPr="00F073CB">
        <w:rPr>
          <w:rFonts w:ascii="Arial" w:eastAsia="Times New Roman" w:hAnsi="Arial" w:cs="Arial"/>
          <w:lang w:eastAsia="en-ZA"/>
        </w:rPr>
        <w:t xml:space="preserve">s to adhere to a high standard of professional ethics and environmental stewardship. This means incorporating environmental and sustainability considerations into engineering practice even where legislation does not explicitly require it. </w:t>
      </w:r>
      <w:r>
        <w:rPr>
          <w:rFonts w:ascii="Arial" w:eastAsia="Times New Roman" w:hAnsi="Arial" w:cs="Arial"/>
          <w:lang w:eastAsia="en-ZA"/>
        </w:rPr>
        <w:t>Registered Person</w:t>
      </w:r>
      <w:r w:rsidRPr="00F073CB">
        <w:rPr>
          <w:rFonts w:ascii="Arial" w:eastAsia="Times New Roman" w:hAnsi="Arial" w:cs="Arial"/>
          <w:lang w:eastAsia="en-ZA"/>
        </w:rPr>
        <w:t xml:space="preserve">s should adopt environmentally responsible design approaches, prioritise energy and water efficiency, reduce waste and carbon footprints, and consider the full </w:t>
      </w:r>
      <w:proofErr w:type="gramStart"/>
      <w:r w:rsidRPr="00F073CB">
        <w:rPr>
          <w:rFonts w:ascii="Arial" w:eastAsia="Times New Roman" w:hAnsi="Arial" w:cs="Arial"/>
          <w:lang w:eastAsia="en-ZA"/>
        </w:rPr>
        <w:t>life-cycle</w:t>
      </w:r>
      <w:proofErr w:type="gramEnd"/>
      <w:r w:rsidRPr="00F073CB">
        <w:rPr>
          <w:rFonts w:ascii="Arial" w:eastAsia="Times New Roman" w:hAnsi="Arial" w:cs="Arial"/>
          <w:lang w:eastAsia="en-ZA"/>
        </w:rPr>
        <w:t xml:space="preserve"> impacts of infrastructure and technologies.</w:t>
      </w:r>
    </w:p>
    <w:p w14:paraId="10928DA0" w14:textId="77777777" w:rsidR="005A0A21" w:rsidRDefault="005A0A21" w:rsidP="005A0A21">
      <w:pPr>
        <w:pStyle w:val="ListParagraph"/>
        <w:spacing w:before="100" w:beforeAutospacing="1" w:after="100" w:afterAutospacing="1" w:line="276" w:lineRule="auto"/>
        <w:ind w:left="567" w:hanging="567"/>
        <w:jc w:val="both"/>
        <w:rPr>
          <w:rFonts w:ascii="Arial" w:eastAsia="Times New Roman" w:hAnsi="Arial" w:cs="Arial"/>
          <w:lang w:eastAsia="en-ZA"/>
        </w:rPr>
      </w:pPr>
    </w:p>
    <w:p w14:paraId="614FDC42"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 xml:space="preserve">Engineering designs should promote long-term sustainability, accounting for environmental risks such as flooding, water scarcity, habitat disruption, and climate change. </w:t>
      </w:r>
      <w:r>
        <w:rPr>
          <w:rFonts w:ascii="Arial" w:eastAsia="Times New Roman" w:hAnsi="Arial" w:cs="Arial"/>
          <w:lang w:eastAsia="en-ZA"/>
        </w:rPr>
        <w:t>Registered Person</w:t>
      </w:r>
      <w:r w:rsidRPr="00F073CB">
        <w:rPr>
          <w:rFonts w:ascii="Arial" w:eastAsia="Times New Roman" w:hAnsi="Arial" w:cs="Arial"/>
          <w:lang w:eastAsia="en-ZA"/>
        </w:rPr>
        <w:t>s are encouraged to draw on green building principles, low-impact design strategies, and renewable energy technologies where appropriate. In project execution, professionals should seek to prevent rather than merely control environmental damage. Site supervision and monitoring should include checks on compliance with environmental management plans and conditions of authorisation.</w:t>
      </w:r>
    </w:p>
    <w:p w14:paraId="4FC1C577" w14:textId="77777777" w:rsidR="005A0A21" w:rsidRPr="00CA35D2" w:rsidRDefault="005A0A21" w:rsidP="005A0A21">
      <w:pPr>
        <w:pStyle w:val="ListParagraph"/>
        <w:rPr>
          <w:rFonts w:ascii="Arial" w:eastAsia="Times New Roman" w:hAnsi="Arial" w:cs="Arial"/>
          <w:lang w:eastAsia="en-ZA"/>
        </w:rPr>
      </w:pPr>
    </w:p>
    <w:p w14:paraId="57C138E0" w14:textId="77777777" w:rsidR="005A0A21" w:rsidRPr="00CA35D2"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CA35D2">
        <w:rPr>
          <w:rFonts w:ascii="Arial" w:eastAsia="Times New Roman" w:hAnsi="Arial" w:cs="Arial"/>
          <w:lang w:eastAsia="en-ZA"/>
        </w:rPr>
        <w:t>Professional responsibility also entails leadership. Registered Persons should promote environmental awareness among clients, contractors, and junior colleagues. They should resist any pressure to overlook environmental risks or cut corners to reduce costs. Where possible, they should participate in industry efforts to enhance environmental outcomes, support research into sustainable engineering, and contribute to knowledge-sharing on best practices in environmental management.</w:t>
      </w:r>
    </w:p>
    <w:p w14:paraId="2AAFD0A1" w14:textId="77777777" w:rsidR="005A0A21" w:rsidRPr="001D6341" w:rsidRDefault="005A0A21" w:rsidP="005A0A21">
      <w:pPr>
        <w:spacing w:line="276" w:lineRule="auto"/>
        <w:ind w:left="567" w:hanging="567"/>
        <w:jc w:val="both"/>
        <w:rPr>
          <w:rFonts w:ascii="Arial" w:eastAsia="Times New Roman" w:hAnsi="Arial" w:cs="Arial"/>
          <w:sz w:val="22"/>
          <w:szCs w:val="22"/>
          <w:lang w:eastAsia="en-ZA"/>
        </w:rPr>
      </w:pPr>
    </w:p>
    <w:p w14:paraId="35E36F81" w14:textId="77777777" w:rsidR="005A0A21" w:rsidRPr="001D6341" w:rsidRDefault="005A0A21" w:rsidP="005A0A21">
      <w:pPr>
        <w:spacing w:before="100" w:beforeAutospacing="1" w:after="100" w:afterAutospacing="1" w:line="276" w:lineRule="auto"/>
        <w:ind w:left="567" w:hanging="567"/>
        <w:jc w:val="both"/>
        <w:rPr>
          <w:rFonts w:ascii="Arial" w:eastAsia="Times New Roman" w:hAnsi="Arial" w:cs="Arial"/>
          <w:sz w:val="22"/>
          <w:szCs w:val="22"/>
          <w:lang w:eastAsia="en-ZA"/>
        </w:rPr>
      </w:pPr>
      <w:r w:rsidRPr="001D6341">
        <w:rPr>
          <w:rFonts w:ascii="Arial" w:eastAsia="Times New Roman" w:hAnsi="Arial" w:cs="Arial"/>
          <w:b/>
          <w:bCs/>
          <w:sz w:val="22"/>
          <w:szCs w:val="22"/>
          <w:lang w:eastAsia="en-ZA"/>
        </w:rPr>
        <w:t>Consequences of Non-Compliance</w:t>
      </w:r>
    </w:p>
    <w:p w14:paraId="7139787C"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 xml:space="preserve">The failure of a </w:t>
      </w:r>
      <w:r>
        <w:rPr>
          <w:rFonts w:ascii="Arial" w:eastAsia="Times New Roman" w:hAnsi="Arial" w:cs="Arial"/>
          <w:lang w:eastAsia="en-ZA"/>
        </w:rPr>
        <w:t>Registered Person</w:t>
      </w:r>
      <w:r w:rsidRPr="00F073CB">
        <w:rPr>
          <w:rFonts w:ascii="Arial" w:eastAsia="Times New Roman" w:hAnsi="Arial" w:cs="Arial"/>
          <w:lang w:eastAsia="en-ZA"/>
        </w:rPr>
        <w:t xml:space="preserve"> to fulfil their environmental responsibilities may lead to significant consequences. Under the Engineering Profession Act, ECSA may initiate disciplinary proceedings against a </w:t>
      </w:r>
      <w:r>
        <w:rPr>
          <w:rFonts w:ascii="Arial" w:eastAsia="Times New Roman" w:hAnsi="Arial" w:cs="Arial"/>
          <w:lang w:eastAsia="en-ZA"/>
        </w:rPr>
        <w:t>Registered Person</w:t>
      </w:r>
      <w:r w:rsidRPr="00F073CB">
        <w:rPr>
          <w:rFonts w:ascii="Arial" w:eastAsia="Times New Roman" w:hAnsi="Arial" w:cs="Arial"/>
          <w:lang w:eastAsia="en-ZA"/>
        </w:rPr>
        <w:t xml:space="preserve"> found to have acted in a manner inconsistent with their professional duties. Such proceedings may result in sanctions ranging from reprimand to suspension or removal from the register.</w:t>
      </w:r>
    </w:p>
    <w:p w14:paraId="44D017F8" w14:textId="77777777" w:rsidR="005A0A21" w:rsidRDefault="005A0A21" w:rsidP="005A0A21">
      <w:pPr>
        <w:pStyle w:val="ListParagraph"/>
        <w:spacing w:before="100" w:beforeAutospacing="1" w:after="100" w:afterAutospacing="1" w:line="276" w:lineRule="auto"/>
        <w:ind w:left="567" w:hanging="567"/>
        <w:jc w:val="both"/>
        <w:rPr>
          <w:rFonts w:ascii="Arial" w:eastAsia="Times New Roman" w:hAnsi="Arial" w:cs="Arial"/>
          <w:lang w:eastAsia="en-ZA"/>
        </w:rPr>
      </w:pPr>
    </w:p>
    <w:p w14:paraId="7E3466B9"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 xml:space="preserve">In addition, environmental legislation such as NEMA contains strong enforcement provisions. Where a </w:t>
      </w:r>
      <w:r>
        <w:rPr>
          <w:rFonts w:ascii="Arial" w:eastAsia="Times New Roman" w:hAnsi="Arial" w:cs="Arial"/>
          <w:lang w:eastAsia="en-ZA"/>
        </w:rPr>
        <w:t>Registered Person</w:t>
      </w:r>
      <w:r w:rsidRPr="00F073CB">
        <w:rPr>
          <w:rFonts w:ascii="Arial" w:eastAsia="Times New Roman" w:hAnsi="Arial" w:cs="Arial"/>
          <w:lang w:eastAsia="en-ZA"/>
        </w:rPr>
        <w:t xml:space="preserve"> contributes to unlawful environmental degradation or fails to act in accordance with environmental laws, they may face criminal charges, administrative fines, or civil liability. In some cases, courts may issue interdicts, demolition orders, or cost recovery orders to compel remediation or prevent ongoing harm.</w:t>
      </w:r>
    </w:p>
    <w:p w14:paraId="3B55BB0C" w14:textId="77777777" w:rsidR="005A0A21" w:rsidRDefault="005A0A21" w:rsidP="005A0A21">
      <w:pPr>
        <w:pStyle w:val="ListParagraph"/>
        <w:spacing w:line="276" w:lineRule="auto"/>
        <w:ind w:left="567" w:hanging="567"/>
        <w:rPr>
          <w:rFonts w:ascii="Arial" w:eastAsia="Times New Roman" w:hAnsi="Arial" w:cs="Arial"/>
          <w:lang w:eastAsia="en-ZA"/>
        </w:rPr>
      </w:pPr>
    </w:p>
    <w:p w14:paraId="62F58E4E" w14:textId="77777777" w:rsidR="005A0A21" w:rsidRDefault="005A0A21" w:rsidP="005A0A21">
      <w:pPr>
        <w:pStyle w:val="ListParagraph"/>
        <w:spacing w:line="276" w:lineRule="auto"/>
        <w:ind w:left="567" w:hanging="567"/>
        <w:rPr>
          <w:rFonts w:ascii="Arial" w:eastAsia="Times New Roman" w:hAnsi="Arial" w:cs="Arial"/>
          <w:lang w:eastAsia="en-ZA"/>
        </w:rPr>
      </w:pPr>
    </w:p>
    <w:p w14:paraId="0161231A" w14:textId="77777777" w:rsidR="005A0A21" w:rsidRDefault="005A0A21" w:rsidP="005A0A21">
      <w:pPr>
        <w:pStyle w:val="ListParagraph"/>
        <w:spacing w:line="276" w:lineRule="auto"/>
        <w:ind w:left="567" w:hanging="567"/>
        <w:rPr>
          <w:rFonts w:ascii="Arial" w:eastAsia="Times New Roman" w:hAnsi="Arial" w:cs="Arial"/>
          <w:lang w:eastAsia="en-ZA"/>
        </w:rPr>
      </w:pPr>
    </w:p>
    <w:p w14:paraId="068C4AFB" w14:textId="77777777" w:rsidR="005A0A21" w:rsidRDefault="005A0A21" w:rsidP="005A0A21">
      <w:pPr>
        <w:pStyle w:val="ListParagraph"/>
        <w:spacing w:line="276" w:lineRule="auto"/>
        <w:ind w:left="567" w:hanging="567"/>
        <w:rPr>
          <w:rFonts w:ascii="Arial" w:eastAsia="Times New Roman" w:hAnsi="Arial" w:cs="Arial"/>
          <w:lang w:eastAsia="en-ZA"/>
        </w:rPr>
      </w:pPr>
    </w:p>
    <w:p w14:paraId="4F252AF1" w14:textId="77777777" w:rsidR="005A0A21" w:rsidRDefault="005A0A21" w:rsidP="005A0A21">
      <w:pPr>
        <w:pStyle w:val="ListParagraph"/>
        <w:spacing w:line="276" w:lineRule="auto"/>
        <w:ind w:left="567" w:hanging="567"/>
        <w:rPr>
          <w:rFonts w:ascii="Arial" w:eastAsia="Times New Roman" w:hAnsi="Arial" w:cs="Arial"/>
          <w:lang w:eastAsia="en-ZA"/>
        </w:rPr>
      </w:pPr>
    </w:p>
    <w:p w14:paraId="5FED47E2" w14:textId="77777777" w:rsidR="005A0A21" w:rsidRPr="00F073CB" w:rsidRDefault="005A0A21" w:rsidP="005A0A21">
      <w:pPr>
        <w:pStyle w:val="ListParagraph"/>
        <w:spacing w:line="276" w:lineRule="auto"/>
        <w:ind w:left="567" w:hanging="567"/>
        <w:rPr>
          <w:rFonts w:ascii="Arial" w:eastAsia="Times New Roman" w:hAnsi="Arial" w:cs="Arial"/>
          <w:lang w:eastAsia="en-ZA"/>
        </w:rPr>
      </w:pPr>
    </w:p>
    <w:p w14:paraId="2CEB8C02"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lastRenderedPageBreak/>
        <w:t>The reputational consequences of non-compliance are equally serious. Professionals</w:t>
      </w:r>
      <w:r>
        <w:rPr>
          <w:rFonts w:ascii="Arial" w:eastAsia="Times New Roman" w:hAnsi="Arial" w:cs="Arial"/>
          <w:lang w:eastAsia="en-ZA"/>
        </w:rPr>
        <w:t>, specifically Registered Persons,</w:t>
      </w:r>
      <w:r w:rsidRPr="00F073CB">
        <w:rPr>
          <w:rFonts w:ascii="Arial" w:eastAsia="Times New Roman" w:hAnsi="Arial" w:cs="Arial"/>
          <w:lang w:eastAsia="en-ZA"/>
        </w:rPr>
        <w:t xml:space="preserve"> who are found to have disregarded environmental obligations may suffer damage to their credibility and lose the confidence of clients, regulatory bodies, and the public. Given the increasing importance of environmental, social, and governance (ESG) factors in procurement and funding decisions, environmental misconduct</w:t>
      </w:r>
      <w:r>
        <w:rPr>
          <w:rFonts w:ascii="Arial" w:eastAsia="Times New Roman" w:hAnsi="Arial" w:cs="Arial"/>
          <w:lang w:eastAsia="en-ZA"/>
        </w:rPr>
        <w:t xml:space="preserve"> or improper conduct</w:t>
      </w:r>
      <w:r w:rsidRPr="00F073CB">
        <w:rPr>
          <w:rFonts w:ascii="Arial" w:eastAsia="Times New Roman" w:hAnsi="Arial" w:cs="Arial"/>
          <w:lang w:eastAsia="en-ZA"/>
        </w:rPr>
        <w:t xml:space="preserve"> may also disqualify professionals and firms from bidding for public contracts or partnerships.</w:t>
      </w:r>
    </w:p>
    <w:p w14:paraId="6366F993" w14:textId="77777777" w:rsidR="005A0A21" w:rsidRPr="00830DC9" w:rsidRDefault="005A0A21" w:rsidP="005A0A21">
      <w:pPr>
        <w:pStyle w:val="ListParagraph"/>
        <w:spacing w:before="100" w:beforeAutospacing="1" w:after="100" w:afterAutospacing="1" w:line="276" w:lineRule="auto"/>
        <w:ind w:left="567" w:hanging="567"/>
        <w:jc w:val="both"/>
        <w:rPr>
          <w:rFonts w:ascii="Arial" w:eastAsia="Times New Roman" w:hAnsi="Arial" w:cs="Arial"/>
          <w:lang w:eastAsia="en-ZA"/>
        </w:rPr>
      </w:pPr>
    </w:p>
    <w:p w14:paraId="008155DF" w14:textId="77777777" w:rsidR="005A0A21" w:rsidRPr="005645AF" w:rsidRDefault="005A0A21" w:rsidP="005A0A21">
      <w:pPr>
        <w:spacing w:before="100" w:beforeAutospacing="1" w:after="100" w:afterAutospacing="1" w:line="276" w:lineRule="auto"/>
        <w:ind w:left="567" w:hanging="567"/>
        <w:jc w:val="both"/>
        <w:rPr>
          <w:rFonts w:ascii="Arial" w:eastAsia="Times New Roman" w:hAnsi="Arial" w:cs="Arial"/>
          <w:b/>
          <w:bCs/>
          <w:sz w:val="22"/>
          <w:szCs w:val="22"/>
          <w:lang w:eastAsia="en-ZA"/>
        </w:rPr>
      </w:pPr>
      <w:r w:rsidRPr="001D6341">
        <w:rPr>
          <w:rFonts w:ascii="Arial" w:eastAsia="Times New Roman" w:hAnsi="Arial" w:cs="Arial"/>
          <w:b/>
          <w:bCs/>
          <w:sz w:val="22"/>
          <w:szCs w:val="22"/>
          <w:lang w:eastAsia="en-ZA"/>
        </w:rPr>
        <w:t>Conclusion</w:t>
      </w:r>
    </w:p>
    <w:p w14:paraId="7CC7FAD7" w14:textId="77777777" w:rsidR="005A0A21"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Environmental stewardship is not an optional extra in the practice of engineering</w:t>
      </w:r>
      <w:r>
        <w:rPr>
          <w:rFonts w:ascii="Arial" w:eastAsia="Times New Roman" w:hAnsi="Arial" w:cs="Arial"/>
          <w:lang w:eastAsia="en-ZA"/>
        </w:rPr>
        <w:t xml:space="preserve">; </w:t>
      </w:r>
      <w:r w:rsidRPr="00F073CB">
        <w:rPr>
          <w:rFonts w:ascii="Arial" w:eastAsia="Times New Roman" w:hAnsi="Arial" w:cs="Arial"/>
          <w:lang w:eastAsia="en-ZA"/>
        </w:rPr>
        <w:t xml:space="preserve">it is a fundamental duty. </w:t>
      </w:r>
      <w:r>
        <w:rPr>
          <w:rFonts w:ascii="Arial" w:eastAsia="Times New Roman" w:hAnsi="Arial" w:cs="Arial"/>
          <w:lang w:eastAsia="en-ZA"/>
        </w:rPr>
        <w:t>Registered Person</w:t>
      </w:r>
      <w:r w:rsidRPr="00F073CB">
        <w:rPr>
          <w:rFonts w:ascii="Arial" w:eastAsia="Times New Roman" w:hAnsi="Arial" w:cs="Arial"/>
          <w:lang w:eastAsia="en-ZA"/>
        </w:rPr>
        <w:t xml:space="preserve">s under ECSA are bound by law, ethics, and public trust to act in ways that protect the environment and promote sustainable development. These responsibilities require more than passive compliance; they demand active engagement, continuous learning, and professional courage. Whether through accurate assessments, ethical design, responsible implementation, or advocacy, </w:t>
      </w:r>
      <w:r>
        <w:rPr>
          <w:rFonts w:ascii="Arial" w:eastAsia="Times New Roman" w:hAnsi="Arial" w:cs="Arial"/>
          <w:lang w:eastAsia="en-ZA"/>
        </w:rPr>
        <w:t>Registered Person</w:t>
      </w:r>
      <w:r w:rsidRPr="00F073CB">
        <w:rPr>
          <w:rFonts w:ascii="Arial" w:eastAsia="Times New Roman" w:hAnsi="Arial" w:cs="Arial"/>
          <w:lang w:eastAsia="en-ZA"/>
        </w:rPr>
        <w:t>s have the tools and knowledge to make a meaningful difference.</w:t>
      </w:r>
    </w:p>
    <w:p w14:paraId="1EEEF81B" w14:textId="77777777" w:rsidR="005A0A21" w:rsidRDefault="005A0A21" w:rsidP="005A0A21">
      <w:pPr>
        <w:pStyle w:val="ListParagraph"/>
        <w:spacing w:before="100" w:beforeAutospacing="1" w:after="100" w:afterAutospacing="1" w:line="276" w:lineRule="auto"/>
        <w:ind w:left="567" w:hanging="567"/>
        <w:jc w:val="both"/>
        <w:rPr>
          <w:rFonts w:ascii="Arial" w:eastAsia="Times New Roman" w:hAnsi="Arial" w:cs="Arial"/>
          <w:lang w:eastAsia="en-ZA"/>
        </w:rPr>
      </w:pPr>
    </w:p>
    <w:p w14:paraId="50B0D556" w14:textId="77777777" w:rsidR="005A0A21" w:rsidRPr="00F073CB" w:rsidRDefault="005A0A21" w:rsidP="005A0A21">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F073CB">
        <w:rPr>
          <w:rFonts w:ascii="Arial" w:eastAsia="Times New Roman" w:hAnsi="Arial" w:cs="Arial"/>
          <w:lang w:eastAsia="en-ZA"/>
        </w:rPr>
        <w:t xml:space="preserve">The Engineering Council of South Africa encourages all </w:t>
      </w:r>
      <w:r>
        <w:rPr>
          <w:rFonts w:ascii="Arial" w:eastAsia="Times New Roman" w:hAnsi="Arial" w:cs="Arial"/>
          <w:lang w:eastAsia="en-ZA"/>
        </w:rPr>
        <w:t>Registered Persons</w:t>
      </w:r>
      <w:r w:rsidRPr="00F073CB">
        <w:rPr>
          <w:rFonts w:ascii="Arial" w:eastAsia="Times New Roman" w:hAnsi="Arial" w:cs="Arial"/>
          <w:lang w:eastAsia="en-ZA"/>
        </w:rPr>
        <w:t xml:space="preserve"> to reflect on their environmental responsibilities and to integrate them into every aspect of their work. In doing so, they not only comply with the law but also uphold the integrity of the profession and contribute to a just and sustainable future.</w:t>
      </w:r>
    </w:p>
    <w:p w14:paraId="2AF5208E" w14:textId="77777777" w:rsidR="005A0A21" w:rsidRPr="001D6341" w:rsidRDefault="005A0A21" w:rsidP="005A0A21">
      <w:pPr>
        <w:spacing w:line="276" w:lineRule="auto"/>
        <w:jc w:val="both"/>
        <w:rPr>
          <w:rFonts w:ascii="Arial" w:eastAsia="Times New Roman" w:hAnsi="Arial" w:cs="Arial"/>
          <w:sz w:val="22"/>
          <w:szCs w:val="22"/>
          <w:lang w:eastAsia="en-ZA"/>
        </w:rPr>
      </w:pPr>
    </w:p>
    <w:p w14:paraId="18EEB909" w14:textId="77777777" w:rsidR="005A0A21" w:rsidRPr="001D6341" w:rsidRDefault="005A0A21" w:rsidP="005A0A21">
      <w:pPr>
        <w:spacing w:line="276" w:lineRule="auto"/>
        <w:ind w:left="567" w:hanging="567"/>
        <w:jc w:val="both"/>
        <w:rPr>
          <w:rFonts w:ascii="Arial" w:eastAsia="Times New Roman" w:hAnsi="Arial" w:cs="Arial"/>
          <w:sz w:val="22"/>
          <w:szCs w:val="22"/>
          <w:lang w:eastAsia="en-ZA"/>
        </w:rPr>
      </w:pPr>
      <w:r w:rsidRPr="001D6341">
        <w:rPr>
          <w:rFonts w:ascii="Arial" w:eastAsia="Times New Roman" w:hAnsi="Arial" w:cs="Arial"/>
          <w:sz w:val="22"/>
          <w:szCs w:val="22"/>
          <w:lang w:eastAsia="en-ZA"/>
        </w:rPr>
        <w:t>END</w:t>
      </w:r>
    </w:p>
    <w:p w14:paraId="193D52C2" w14:textId="77777777" w:rsidR="005A0A21" w:rsidRPr="001D6341" w:rsidRDefault="005A0A21" w:rsidP="005A0A21">
      <w:pPr>
        <w:spacing w:line="276" w:lineRule="auto"/>
        <w:jc w:val="both"/>
        <w:rPr>
          <w:rFonts w:ascii="Arial" w:hAnsi="Arial" w:cs="Arial"/>
          <w:b/>
          <w:bCs/>
          <w:sz w:val="22"/>
          <w:szCs w:val="22"/>
        </w:rPr>
      </w:pPr>
    </w:p>
    <w:p w14:paraId="609C90B3" w14:textId="77777777" w:rsidR="005A0A21" w:rsidRPr="001D6341" w:rsidRDefault="005A0A21" w:rsidP="005A0A21">
      <w:pPr>
        <w:spacing w:line="276" w:lineRule="auto"/>
        <w:jc w:val="both"/>
        <w:rPr>
          <w:rFonts w:ascii="Arial" w:hAnsi="Arial" w:cs="Arial"/>
          <w:b/>
          <w:bCs/>
          <w:sz w:val="22"/>
          <w:szCs w:val="22"/>
        </w:rPr>
      </w:pPr>
    </w:p>
    <w:p w14:paraId="71681404" w14:textId="77777777" w:rsidR="005A0A21" w:rsidRPr="005645AF" w:rsidRDefault="005A0A21" w:rsidP="005A0A21">
      <w:pPr>
        <w:spacing w:line="276" w:lineRule="auto"/>
        <w:jc w:val="both"/>
        <w:rPr>
          <w:rFonts w:ascii="Arial" w:hAnsi="Arial" w:cs="Arial"/>
          <w:b/>
          <w:bCs/>
          <w:sz w:val="16"/>
          <w:szCs w:val="16"/>
        </w:rPr>
      </w:pPr>
      <w:r w:rsidRPr="005645AF">
        <w:rPr>
          <w:rFonts w:ascii="Arial" w:hAnsi="Arial" w:cs="Arial"/>
          <w:b/>
          <w:bCs/>
          <w:sz w:val="16"/>
          <w:szCs w:val="16"/>
        </w:rPr>
        <w:t>Disclaimer</w:t>
      </w:r>
    </w:p>
    <w:p w14:paraId="40D4DA5C" w14:textId="77777777" w:rsidR="005A0A21" w:rsidRPr="005645AF" w:rsidRDefault="005A0A21" w:rsidP="005A0A21">
      <w:pPr>
        <w:spacing w:line="276" w:lineRule="auto"/>
        <w:jc w:val="both"/>
        <w:rPr>
          <w:rFonts w:ascii="Arial" w:hAnsi="Arial" w:cs="Arial"/>
          <w:sz w:val="16"/>
          <w:szCs w:val="16"/>
        </w:rPr>
      </w:pPr>
      <w:r w:rsidRPr="005645AF">
        <w:rPr>
          <w:rFonts w:ascii="Arial" w:hAnsi="Arial" w:cs="Arial"/>
          <w:sz w:val="16"/>
          <w:szCs w:val="16"/>
        </w:rPr>
        <w:t>The information provided in this advisory note is intended solely for general informational purposes. It does not constitute legal, professional, engineering, or regulatory advice, nor does it create any form of relationship between the Engineering Council of South Africa (ECSA) and the reader. Although every effort has been made to ensure the accuracy and reliability of the content, ECSA and/or Council, its officers, representatives, co-authors, employees, and agents make no warranties, express or implied, regarding the completeness, accuracy, or suitability of the information for any specific purpose. The use of this information is at the sole discretion and risk of the reader. ECSA and/or the Council shall not be liable for any loss, damage, or other claims arising directly or indirectly from the reliance on or use of this information. Recipients are advised to seek appropriate, tailored advice for specific situations and not to rely solely on this advisory note for decision-making or compliance purposes.</w:t>
      </w:r>
    </w:p>
    <w:p w14:paraId="40C9CD78" w14:textId="77777777" w:rsidR="005A0A21" w:rsidRPr="005645AF" w:rsidRDefault="005A0A21" w:rsidP="005A0A21">
      <w:pPr>
        <w:spacing w:line="276" w:lineRule="auto"/>
        <w:jc w:val="both"/>
        <w:rPr>
          <w:rFonts w:ascii="Arial" w:hAnsi="Arial" w:cs="Arial"/>
          <w:b/>
          <w:bCs/>
          <w:sz w:val="16"/>
          <w:szCs w:val="16"/>
        </w:rPr>
      </w:pPr>
    </w:p>
    <w:p w14:paraId="18DC4A77" w14:textId="77777777" w:rsidR="005A0A21" w:rsidRPr="005645AF" w:rsidRDefault="005A0A21" w:rsidP="005A0A21">
      <w:pPr>
        <w:spacing w:line="276" w:lineRule="auto"/>
        <w:jc w:val="both"/>
        <w:rPr>
          <w:rFonts w:ascii="Arial" w:hAnsi="Arial" w:cs="Arial"/>
          <w:b/>
          <w:bCs/>
          <w:sz w:val="16"/>
          <w:szCs w:val="16"/>
        </w:rPr>
      </w:pPr>
      <w:r w:rsidRPr="005645AF">
        <w:rPr>
          <w:rFonts w:ascii="Arial" w:hAnsi="Arial" w:cs="Arial"/>
          <w:b/>
          <w:bCs/>
          <w:sz w:val="16"/>
          <w:szCs w:val="16"/>
        </w:rPr>
        <w:t>Intellectual Property and Copyright Notice</w:t>
      </w:r>
    </w:p>
    <w:p w14:paraId="562170D9" w14:textId="77777777" w:rsidR="005A0A21" w:rsidRPr="005645AF" w:rsidRDefault="005A0A21" w:rsidP="005A0A21">
      <w:pPr>
        <w:spacing w:line="276" w:lineRule="auto"/>
        <w:jc w:val="both"/>
        <w:rPr>
          <w:rFonts w:ascii="Arial" w:hAnsi="Arial" w:cs="Arial"/>
          <w:sz w:val="16"/>
          <w:szCs w:val="16"/>
        </w:rPr>
      </w:pPr>
      <w:r w:rsidRPr="005645AF">
        <w:rPr>
          <w:rFonts w:ascii="Arial" w:hAnsi="Arial" w:cs="Arial"/>
          <w:sz w:val="16"/>
          <w:szCs w:val="16"/>
        </w:rPr>
        <w:t>This advisory note, including its content, design, format, and all associated intellectual property, is the exclusive property of the Engineering Council of South Africa (ECSA) and is protected by copyright, trademark, and other intellectual property laws. Unauthorized reproduction, redistribution, adaptation, or modification of this document, in whole or in part, without ECSA's explicit written permission, is strictly prohibited and may result in legal action. Where permission has been granted for reproduction or distribution, the content must remain unaltered, and ECSA’s copyright and ownership notices must be prominently displayed.</w:t>
      </w:r>
    </w:p>
    <w:p w14:paraId="5BF328D2" w14:textId="77777777" w:rsidR="005A0A21" w:rsidRPr="005645AF" w:rsidRDefault="005A0A21" w:rsidP="005A0A21">
      <w:pPr>
        <w:spacing w:line="276" w:lineRule="auto"/>
        <w:jc w:val="both"/>
        <w:rPr>
          <w:rFonts w:ascii="Arial" w:hAnsi="Arial" w:cs="Arial"/>
          <w:sz w:val="16"/>
          <w:szCs w:val="16"/>
        </w:rPr>
      </w:pPr>
    </w:p>
    <w:p w14:paraId="1A71E106" w14:textId="77777777" w:rsidR="005A0A21" w:rsidRPr="005645AF" w:rsidRDefault="005A0A21" w:rsidP="005A0A21">
      <w:pPr>
        <w:spacing w:line="276" w:lineRule="auto"/>
        <w:jc w:val="both"/>
        <w:rPr>
          <w:rFonts w:ascii="Arial" w:hAnsi="Arial" w:cs="Arial"/>
          <w:b/>
          <w:bCs/>
          <w:sz w:val="16"/>
          <w:szCs w:val="16"/>
        </w:rPr>
      </w:pPr>
      <w:r w:rsidRPr="005645AF">
        <w:rPr>
          <w:rFonts w:ascii="Arial" w:hAnsi="Arial" w:cs="Arial"/>
          <w:b/>
          <w:bCs/>
          <w:sz w:val="16"/>
          <w:szCs w:val="16"/>
        </w:rPr>
        <w:t>Use of Information</w:t>
      </w:r>
    </w:p>
    <w:p w14:paraId="1DD269C4" w14:textId="77777777" w:rsidR="005A0A21" w:rsidRPr="005645AF" w:rsidRDefault="005A0A21" w:rsidP="005A0A21">
      <w:pPr>
        <w:spacing w:line="276" w:lineRule="auto"/>
        <w:jc w:val="both"/>
        <w:rPr>
          <w:rFonts w:ascii="Arial" w:hAnsi="Arial" w:cs="Arial"/>
          <w:sz w:val="16"/>
          <w:szCs w:val="16"/>
        </w:rPr>
      </w:pPr>
      <w:r w:rsidRPr="005645AF">
        <w:rPr>
          <w:rFonts w:ascii="Arial" w:hAnsi="Arial" w:cs="Arial"/>
          <w:sz w:val="16"/>
          <w:szCs w:val="16"/>
        </w:rPr>
        <w:t>This advisory note is provided solely for the intended recipient(s) and may contain confidential or privileged information. Distribution or sharing without prior authorization is limited to purposes consistent with ECSA’s mandate and for educational, non-commercial, or reference purposes within the boundaries established by ECSA.</w:t>
      </w:r>
    </w:p>
    <w:p w14:paraId="2C303BBA" w14:textId="77777777" w:rsidR="005A0A21" w:rsidRPr="005645AF" w:rsidRDefault="005A0A21" w:rsidP="005A0A21">
      <w:pPr>
        <w:spacing w:line="276" w:lineRule="auto"/>
        <w:jc w:val="both"/>
        <w:rPr>
          <w:rFonts w:ascii="Arial" w:hAnsi="Arial" w:cs="Arial"/>
          <w:sz w:val="16"/>
          <w:szCs w:val="16"/>
        </w:rPr>
      </w:pPr>
    </w:p>
    <w:p w14:paraId="517018E6" w14:textId="77777777" w:rsidR="005A0A21" w:rsidRPr="001D6341" w:rsidRDefault="005A0A21" w:rsidP="005A0A21">
      <w:pPr>
        <w:spacing w:line="276" w:lineRule="auto"/>
        <w:jc w:val="both"/>
        <w:rPr>
          <w:rFonts w:ascii="Arial" w:hAnsi="Arial" w:cs="Arial"/>
          <w:sz w:val="22"/>
          <w:szCs w:val="22"/>
        </w:rPr>
      </w:pPr>
    </w:p>
    <w:p w14:paraId="54781096" w14:textId="77777777" w:rsidR="005A0A21" w:rsidRPr="001D6341" w:rsidRDefault="005A0A21" w:rsidP="005A0A21">
      <w:pPr>
        <w:widowControl w:val="0"/>
        <w:tabs>
          <w:tab w:val="left" w:pos="204"/>
        </w:tabs>
        <w:autoSpaceDE w:val="0"/>
        <w:autoSpaceDN w:val="0"/>
        <w:adjustRightInd w:val="0"/>
        <w:spacing w:line="276" w:lineRule="auto"/>
        <w:jc w:val="both"/>
        <w:rPr>
          <w:rFonts w:ascii="Arial" w:eastAsia="Arial" w:hAnsi="Arial" w:cs="Arial"/>
          <w:spacing w:val="2"/>
          <w:sz w:val="22"/>
          <w:szCs w:val="22"/>
        </w:rPr>
      </w:pPr>
    </w:p>
    <w:p w14:paraId="1D212CF3" w14:textId="77777777" w:rsidR="005A0A21" w:rsidRPr="001D6341" w:rsidRDefault="005A0A21" w:rsidP="005A0A21">
      <w:pPr>
        <w:widowControl w:val="0"/>
        <w:tabs>
          <w:tab w:val="left" w:pos="204"/>
        </w:tabs>
        <w:autoSpaceDE w:val="0"/>
        <w:autoSpaceDN w:val="0"/>
        <w:adjustRightInd w:val="0"/>
        <w:spacing w:line="276" w:lineRule="auto"/>
        <w:jc w:val="both"/>
        <w:rPr>
          <w:rFonts w:ascii="Arial" w:eastAsia="Arial" w:hAnsi="Arial" w:cs="Arial"/>
          <w:spacing w:val="2"/>
          <w:sz w:val="22"/>
          <w:szCs w:val="22"/>
        </w:rPr>
      </w:pP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eastAsia="Arial" w:hAnsi="Arial" w:cs="Arial"/>
          <w:spacing w:val="2"/>
          <w:sz w:val="22"/>
          <w:szCs w:val="22"/>
        </w:rPr>
        <w:tab/>
      </w:r>
      <w:r w:rsidRPr="001D6341">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1CC633AE" wp14:editId="7AB96609">
                <wp:simplePos x="0" y="0"/>
                <wp:positionH relativeFrom="column">
                  <wp:posOffset>-638175</wp:posOffset>
                </wp:positionH>
                <wp:positionV relativeFrom="paragraph">
                  <wp:posOffset>273049</wp:posOffset>
                </wp:positionV>
                <wp:extent cx="6953250" cy="7210425"/>
                <wp:effectExtent l="0" t="0" r="0" b="0"/>
                <wp:wrapNone/>
                <wp:docPr id="686985666" name="Text Box 2"/>
                <wp:cNvGraphicFramePr/>
                <a:graphic xmlns:a="http://schemas.openxmlformats.org/drawingml/2006/main">
                  <a:graphicData uri="http://schemas.microsoft.com/office/word/2010/wordprocessingShape">
                    <wps:wsp>
                      <wps:cNvSpPr txBox="1"/>
                      <wps:spPr>
                        <a:xfrm>
                          <a:off x="0" y="0"/>
                          <a:ext cx="6953250" cy="7210425"/>
                        </a:xfrm>
                        <a:prstGeom prst="rect">
                          <a:avLst/>
                        </a:prstGeom>
                        <a:noFill/>
                        <a:ln w="6350">
                          <a:noFill/>
                        </a:ln>
                      </wps:spPr>
                      <wps:txbx>
                        <w:txbxContent>
                          <w:p w14:paraId="41911040" w14:textId="77777777" w:rsidR="005A0A21" w:rsidRPr="00224E98" w:rsidRDefault="005A0A21" w:rsidP="005A0A21">
                            <w:pPr>
                              <w:jc w:val="both"/>
                              <w:rPr>
                                <w:rFonts w:ascii="Arial" w:hAnsi="Arial" w:cs="Arial"/>
                                <w:lang w:val="en-GB"/>
                              </w:rPr>
                            </w:pPr>
                            <w:r>
                              <w:rPr>
                                <w:lang w:val="en-GB"/>
                              </w:rPr>
                              <w:tab/>
                            </w:r>
                            <w:r>
                              <w:rPr>
                                <w:lang w:val="en-GB"/>
                              </w:rPr>
                              <w:tab/>
                            </w:r>
                            <w:r>
                              <w:rPr>
                                <w:lang w:val="en-GB"/>
                              </w:rPr>
                              <w:tab/>
                            </w:r>
                            <w:r>
                              <w:rPr>
                                <w:lang w:val="en-GB"/>
                              </w:rPr>
                              <w:tab/>
                            </w:r>
                            <w:r>
                              <w:rPr>
                                <w:lang w:val="en-GB"/>
                              </w:rPr>
                              <w:tab/>
                            </w:r>
                          </w:p>
                          <w:p w14:paraId="75292D01" w14:textId="77777777" w:rsidR="005A0A21" w:rsidRPr="00224E98" w:rsidRDefault="005A0A21" w:rsidP="005A0A21">
                            <w:pPr>
                              <w:ind w:left="720"/>
                              <w:jc w:val="both"/>
                              <w:rPr>
                                <w:rFonts w:ascii="Arial" w:hAnsi="Arial" w:cs="Aria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CC633AE" id="_x0000_t202" coordsize="21600,21600" o:spt="202" path="m,l,21600r21600,l21600,xe">
                <v:stroke joinstyle="miter"/>
                <v:path gradientshapeok="t" o:connecttype="rect"/>
              </v:shapetype>
              <v:shape id="Text Box 2" o:spid="_x0000_s1026" type="#_x0000_t202" style="position:absolute;left:0;text-align:left;margin-left:-50.25pt;margin-top:21.5pt;width:547.5pt;height:56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" filled="f" stroked="f" strokeweight=".5pt">
                <v:textbox>
                  <w:txbxContent>
                    <w:p w14:paraId="41911040" w14:textId="77777777" w:rsidR="005A0A21" w:rsidRPr="00224E98" w:rsidRDefault="005A0A21" w:rsidP="005A0A21">
                      <w:pPr>
                        <w:jc w:val="both"/>
                        <w:rPr>
                          <w:rFonts w:ascii="Arial" w:hAnsi="Arial" w:cs="Arial"/>
                          <w:lang w:val="en-GB"/>
                        </w:rPr>
                      </w:pPr>
                      <w:r>
                        <w:rPr>
                          <w:lang w:val="en-GB"/>
                        </w:rPr>
                        <w:tab/>
                      </w:r>
                      <w:r>
                        <w:rPr>
                          <w:lang w:val="en-GB"/>
                        </w:rPr>
                        <w:tab/>
                      </w:r>
                      <w:r>
                        <w:rPr>
                          <w:lang w:val="en-GB"/>
                        </w:rPr>
                        <w:tab/>
                      </w:r>
                      <w:r>
                        <w:rPr>
                          <w:lang w:val="en-GB"/>
                        </w:rPr>
                        <w:tab/>
                      </w:r>
                      <w:r>
                        <w:rPr>
                          <w:lang w:val="en-GB"/>
                        </w:rPr>
                        <w:tab/>
                      </w:r>
                    </w:p>
                    <w:p w14:paraId="75292D01" w14:textId="77777777" w:rsidR="005A0A21" w:rsidRPr="00224E98" w:rsidRDefault="005A0A21" w:rsidP="005A0A21">
                      <w:pPr>
                        <w:ind w:left="720"/>
                        <w:jc w:val="both"/>
                        <w:rPr>
                          <w:rFonts w:ascii="Arial" w:hAnsi="Arial" w:cs="Arial"/>
                          <w:lang w:val="en-GB"/>
                        </w:rPr>
                      </w:pPr>
                    </w:p>
                  </w:txbxContent>
                </v:textbox>
              </v:shape>
            </w:pict>
          </mc:Fallback>
        </mc:AlternateContent>
      </w:r>
    </w:p>
    <w:p w14:paraId="183F8D95" w14:textId="77777777" w:rsidR="00676C1A" w:rsidRPr="006C1C66" w:rsidRDefault="00676C1A" w:rsidP="006C1C66"/>
    <w:sectPr w:rsidR="00676C1A" w:rsidRPr="006C1C66" w:rsidSect="00D52485">
      <w:headerReference w:type="default" r:id="rId10"/>
      <w:footerReference w:type="default" r:id="rId11"/>
      <w:headerReference w:type="first" r:id="rId12"/>
      <w:footerReference w:type="firs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DC19E" w14:textId="77777777" w:rsidR="00A74E5A" w:rsidRDefault="00A74E5A" w:rsidP="007930E2">
      <w:r>
        <w:separator/>
      </w:r>
    </w:p>
  </w:endnote>
  <w:endnote w:type="continuationSeparator" w:id="0">
    <w:p w14:paraId="45975F5B" w14:textId="77777777" w:rsidR="00A74E5A" w:rsidRDefault="00A74E5A" w:rsidP="007930E2">
      <w:r>
        <w:continuationSeparator/>
      </w:r>
    </w:p>
  </w:endnote>
  <w:endnote w:type="continuationNotice" w:id="1">
    <w:p w14:paraId="29D97938" w14:textId="77777777" w:rsidR="00A74E5A" w:rsidRDefault="00A74E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Arial-Bold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4BA907C4" w14:textId="77777777" w:rsidTr="14410346">
      <w:trPr>
        <w:trHeight w:val="300"/>
      </w:trPr>
      <w:tc>
        <w:tcPr>
          <w:tcW w:w="3005" w:type="dxa"/>
        </w:tcPr>
        <w:p w14:paraId="1793FF56" w14:textId="7378825E" w:rsidR="14410346" w:rsidRDefault="14410346" w:rsidP="14410346">
          <w:pPr>
            <w:pStyle w:val="Header"/>
            <w:ind w:left="-115"/>
          </w:pPr>
        </w:p>
      </w:tc>
      <w:tc>
        <w:tcPr>
          <w:tcW w:w="3005" w:type="dxa"/>
        </w:tcPr>
        <w:p w14:paraId="18FF4B7B" w14:textId="78386D6C" w:rsidR="14410346" w:rsidRDefault="14410346" w:rsidP="14410346">
          <w:pPr>
            <w:pStyle w:val="Header"/>
            <w:jc w:val="center"/>
          </w:pPr>
        </w:p>
      </w:tc>
      <w:tc>
        <w:tcPr>
          <w:tcW w:w="3005" w:type="dxa"/>
        </w:tcPr>
        <w:p w14:paraId="53DFAC73" w14:textId="33C5B5E5" w:rsidR="14410346" w:rsidRDefault="14410346" w:rsidP="14410346">
          <w:pPr>
            <w:pStyle w:val="Header"/>
            <w:ind w:right="-115"/>
            <w:jc w:val="right"/>
          </w:pPr>
        </w:p>
      </w:tc>
    </w:tr>
  </w:tbl>
  <w:p w14:paraId="16D8394D" w14:textId="7FD043D4" w:rsidR="002F357C" w:rsidRDefault="002F3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1C630E29" w14:textId="77777777" w:rsidTr="14410346">
      <w:trPr>
        <w:trHeight w:val="300"/>
      </w:trPr>
      <w:tc>
        <w:tcPr>
          <w:tcW w:w="3005" w:type="dxa"/>
        </w:tcPr>
        <w:p w14:paraId="63D15011" w14:textId="3982F78C" w:rsidR="14410346" w:rsidRDefault="14410346" w:rsidP="14410346">
          <w:pPr>
            <w:pStyle w:val="Header"/>
            <w:ind w:left="-115"/>
          </w:pPr>
        </w:p>
      </w:tc>
      <w:tc>
        <w:tcPr>
          <w:tcW w:w="3005" w:type="dxa"/>
        </w:tcPr>
        <w:p w14:paraId="733BBA05" w14:textId="4C1009EF" w:rsidR="14410346" w:rsidRDefault="14410346" w:rsidP="14410346">
          <w:pPr>
            <w:pStyle w:val="Header"/>
            <w:jc w:val="center"/>
          </w:pPr>
        </w:p>
      </w:tc>
      <w:tc>
        <w:tcPr>
          <w:tcW w:w="3005" w:type="dxa"/>
        </w:tcPr>
        <w:p w14:paraId="1A9683CF" w14:textId="765FC3BA" w:rsidR="14410346" w:rsidRDefault="14410346" w:rsidP="14410346">
          <w:pPr>
            <w:pStyle w:val="Header"/>
            <w:ind w:right="-115"/>
            <w:jc w:val="right"/>
          </w:pPr>
        </w:p>
      </w:tc>
    </w:tr>
  </w:tbl>
  <w:p w14:paraId="780A40CE" w14:textId="57ED238E" w:rsidR="002F357C" w:rsidRDefault="002F3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93C0F" w14:textId="77777777" w:rsidR="00A74E5A" w:rsidRDefault="00A74E5A" w:rsidP="007930E2">
      <w:r>
        <w:separator/>
      </w:r>
    </w:p>
  </w:footnote>
  <w:footnote w:type="continuationSeparator" w:id="0">
    <w:p w14:paraId="6ACF314B" w14:textId="77777777" w:rsidR="00A74E5A" w:rsidRDefault="00A74E5A" w:rsidP="007930E2">
      <w:r>
        <w:continuationSeparator/>
      </w:r>
    </w:p>
  </w:footnote>
  <w:footnote w:type="continuationNotice" w:id="1">
    <w:p w14:paraId="6ABB7ECD" w14:textId="77777777" w:rsidR="00A74E5A" w:rsidRDefault="00A74E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23ADD" w14:textId="77777777" w:rsidR="00DC53C2" w:rsidRDefault="00DC53C2">
    <w:pPr>
      <w:pStyle w:val="Header"/>
    </w:pPr>
    <w:r>
      <w:rPr>
        <w:noProof/>
        <w:lang w:eastAsia="en-ZA"/>
      </w:rPr>
      <w:drawing>
        <wp:anchor distT="0" distB="0" distL="114300" distR="114300" simplePos="0" relativeHeight="251658241" behindDoc="1" locked="0" layoutInCell="1" allowOverlap="1" wp14:anchorId="3691AFE5" wp14:editId="0E15ABD4">
          <wp:simplePos x="0" y="0"/>
          <wp:positionH relativeFrom="column">
            <wp:posOffset>-914566</wp:posOffset>
          </wp:positionH>
          <wp:positionV relativeFrom="paragraph">
            <wp:posOffset>-417250</wp:posOffset>
          </wp:positionV>
          <wp:extent cx="7538400" cy="1064880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SA - Stationery-Letterhead. 2021-02.jpg"/>
                  <pic:cNvPicPr/>
                </pic:nvPicPr>
                <pic:blipFill>
                  <a:blip r:embed="rId1">
                    <a:extLst>
                      <a:ext uri="{28A0092B-C50C-407E-A947-70E740481C1C}">
                        <a14:useLocalDpi xmlns:a14="http://schemas.microsoft.com/office/drawing/2010/main" val="0"/>
                      </a:ext>
                    </a:extLst>
                  </a:blip>
                  <a:stretch>
                    <a:fillRect/>
                  </a:stretch>
                </pic:blipFill>
                <pic:spPr>
                  <a:xfrm>
                    <a:off x="0" y="0"/>
                    <a:ext cx="7538400" cy="10648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7B6C" w14:textId="77777777" w:rsidR="00DC53C2" w:rsidRDefault="00DC53C2">
    <w:pPr>
      <w:pStyle w:val="Header"/>
    </w:pPr>
    <w:r>
      <w:rPr>
        <w:noProof/>
        <w:lang w:eastAsia="en-ZA"/>
      </w:rPr>
      <w:drawing>
        <wp:anchor distT="0" distB="0" distL="114300" distR="114300" simplePos="0" relativeHeight="251658240" behindDoc="1" locked="0" layoutInCell="1" allowOverlap="1" wp14:anchorId="706D8A00" wp14:editId="273C9B87">
          <wp:simplePos x="0" y="0"/>
          <wp:positionH relativeFrom="margin">
            <wp:posOffset>-931333</wp:posOffset>
          </wp:positionH>
          <wp:positionV relativeFrom="paragraph">
            <wp:posOffset>-441114</wp:posOffset>
          </wp:positionV>
          <wp:extent cx="7579330" cy="10684933"/>
          <wp:effectExtent l="0" t="0" r="317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3408" cy="1069068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C62DD"/>
    <w:multiLevelType w:val="multilevel"/>
    <w:tmpl w:val="13BEA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99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FA33A9"/>
    <w:multiLevelType w:val="hybridMultilevel"/>
    <w:tmpl w:val="14124A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8D072C1"/>
    <w:multiLevelType w:val="hybridMultilevel"/>
    <w:tmpl w:val="2A08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8FB5F5B"/>
    <w:multiLevelType w:val="hybridMultilevel"/>
    <w:tmpl w:val="D2547ACE"/>
    <w:lvl w:ilvl="0" w:tplc="1C090001">
      <w:start w:val="1"/>
      <w:numFmt w:val="bullet"/>
      <w:lvlText w:val=""/>
      <w:lvlJc w:val="left"/>
      <w:pPr>
        <w:ind w:left="840" w:hanging="360"/>
      </w:pPr>
      <w:rPr>
        <w:rFonts w:ascii="Symbol" w:hAnsi="Symbol" w:hint="default"/>
      </w:rPr>
    </w:lvl>
    <w:lvl w:ilvl="1" w:tplc="1C090003" w:tentative="1">
      <w:start w:val="1"/>
      <w:numFmt w:val="bullet"/>
      <w:lvlText w:val="o"/>
      <w:lvlJc w:val="left"/>
      <w:pPr>
        <w:ind w:left="1560" w:hanging="360"/>
      </w:pPr>
      <w:rPr>
        <w:rFonts w:ascii="Courier New" w:hAnsi="Courier New" w:cs="Courier New" w:hint="default"/>
      </w:rPr>
    </w:lvl>
    <w:lvl w:ilvl="2" w:tplc="1C090005" w:tentative="1">
      <w:start w:val="1"/>
      <w:numFmt w:val="bullet"/>
      <w:lvlText w:val=""/>
      <w:lvlJc w:val="left"/>
      <w:pPr>
        <w:ind w:left="2280" w:hanging="360"/>
      </w:pPr>
      <w:rPr>
        <w:rFonts w:ascii="Wingdings" w:hAnsi="Wingdings" w:hint="default"/>
      </w:rPr>
    </w:lvl>
    <w:lvl w:ilvl="3" w:tplc="1C090001" w:tentative="1">
      <w:start w:val="1"/>
      <w:numFmt w:val="bullet"/>
      <w:lvlText w:val=""/>
      <w:lvlJc w:val="left"/>
      <w:pPr>
        <w:ind w:left="3000" w:hanging="360"/>
      </w:pPr>
      <w:rPr>
        <w:rFonts w:ascii="Symbol" w:hAnsi="Symbol" w:hint="default"/>
      </w:rPr>
    </w:lvl>
    <w:lvl w:ilvl="4" w:tplc="1C090003" w:tentative="1">
      <w:start w:val="1"/>
      <w:numFmt w:val="bullet"/>
      <w:lvlText w:val="o"/>
      <w:lvlJc w:val="left"/>
      <w:pPr>
        <w:ind w:left="3720" w:hanging="360"/>
      </w:pPr>
      <w:rPr>
        <w:rFonts w:ascii="Courier New" w:hAnsi="Courier New" w:cs="Courier New" w:hint="default"/>
      </w:rPr>
    </w:lvl>
    <w:lvl w:ilvl="5" w:tplc="1C090005" w:tentative="1">
      <w:start w:val="1"/>
      <w:numFmt w:val="bullet"/>
      <w:lvlText w:val=""/>
      <w:lvlJc w:val="left"/>
      <w:pPr>
        <w:ind w:left="4440" w:hanging="360"/>
      </w:pPr>
      <w:rPr>
        <w:rFonts w:ascii="Wingdings" w:hAnsi="Wingdings" w:hint="default"/>
      </w:rPr>
    </w:lvl>
    <w:lvl w:ilvl="6" w:tplc="1C090001" w:tentative="1">
      <w:start w:val="1"/>
      <w:numFmt w:val="bullet"/>
      <w:lvlText w:val=""/>
      <w:lvlJc w:val="left"/>
      <w:pPr>
        <w:ind w:left="5160" w:hanging="360"/>
      </w:pPr>
      <w:rPr>
        <w:rFonts w:ascii="Symbol" w:hAnsi="Symbol" w:hint="default"/>
      </w:rPr>
    </w:lvl>
    <w:lvl w:ilvl="7" w:tplc="1C090003" w:tentative="1">
      <w:start w:val="1"/>
      <w:numFmt w:val="bullet"/>
      <w:lvlText w:val="o"/>
      <w:lvlJc w:val="left"/>
      <w:pPr>
        <w:ind w:left="5880" w:hanging="360"/>
      </w:pPr>
      <w:rPr>
        <w:rFonts w:ascii="Courier New" w:hAnsi="Courier New" w:cs="Courier New" w:hint="default"/>
      </w:rPr>
    </w:lvl>
    <w:lvl w:ilvl="8" w:tplc="1C090005" w:tentative="1">
      <w:start w:val="1"/>
      <w:numFmt w:val="bullet"/>
      <w:lvlText w:val=""/>
      <w:lvlJc w:val="left"/>
      <w:pPr>
        <w:ind w:left="6600" w:hanging="360"/>
      </w:pPr>
      <w:rPr>
        <w:rFonts w:ascii="Wingdings" w:hAnsi="Wingdings" w:hint="default"/>
      </w:rPr>
    </w:lvl>
  </w:abstractNum>
  <w:abstractNum w:abstractNumId="4" w15:restartNumberingAfterBreak="0">
    <w:nsid w:val="2DCD4B5E"/>
    <w:multiLevelType w:val="hybridMultilevel"/>
    <w:tmpl w:val="5686C2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DEC7A07"/>
    <w:multiLevelType w:val="multilevel"/>
    <w:tmpl w:val="5DF6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227E5"/>
    <w:multiLevelType w:val="hybridMultilevel"/>
    <w:tmpl w:val="60A073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4C6B64B1"/>
    <w:multiLevelType w:val="multilevel"/>
    <w:tmpl w:val="9CD2C4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CFC1B37"/>
    <w:multiLevelType w:val="hybridMultilevel"/>
    <w:tmpl w:val="A51EEA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53622C95"/>
    <w:multiLevelType w:val="multilevel"/>
    <w:tmpl w:val="FF1A0E12"/>
    <w:lvl w:ilvl="0">
      <w:start w:val="1"/>
      <w:numFmt w:val="decimal"/>
      <w:lvlText w:val="%1."/>
      <w:lvlJc w:val="left"/>
      <w:pPr>
        <w:ind w:left="-270" w:hanging="360"/>
      </w:pPr>
      <w:rPr>
        <w:rFonts w:hint="default"/>
        <w:b w:val="0"/>
        <w:bCs w:val="0"/>
        <w:sz w:val="22"/>
      </w:rPr>
    </w:lvl>
    <w:lvl w:ilvl="1">
      <w:start w:val="1"/>
      <w:numFmt w:val="decimal"/>
      <w:isLgl/>
      <w:lvlText w:val="%1.%2"/>
      <w:lvlJc w:val="left"/>
      <w:pPr>
        <w:ind w:left="102" w:hanging="372"/>
      </w:pPr>
      <w:rPr>
        <w:rFonts w:hint="default"/>
        <w:b w:val="0"/>
        <w:bCs w:val="0"/>
      </w:rPr>
    </w:lvl>
    <w:lvl w:ilvl="2">
      <w:start w:val="1"/>
      <w:numFmt w:val="decimal"/>
      <w:isLgl/>
      <w:lvlText w:val="%1.%2.%3"/>
      <w:lvlJc w:val="left"/>
      <w:pPr>
        <w:ind w:left="810" w:hanging="720"/>
      </w:pPr>
      <w:rPr>
        <w:rFonts w:hint="default"/>
        <w:b w:val="0"/>
        <w:bCs w:val="0"/>
      </w:rPr>
    </w:lvl>
    <w:lvl w:ilvl="3">
      <w:start w:val="1"/>
      <w:numFmt w:val="decimal"/>
      <w:isLgl/>
      <w:lvlText w:val="%1.%2.%3.%4"/>
      <w:lvlJc w:val="left"/>
      <w:pPr>
        <w:ind w:left="1170" w:hanging="720"/>
      </w:pPr>
      <w:rPr>
        <w:rFonts w:hint="default"/>
      </w:rPr>
    </w:lvl>
    <w:lvl w:ilvl="4">
      <w:start w:val="1"/>
      <w:numFmt w:val="decimal"/>
      <w:isLgl/>
      <w:lvlText w:val="%1.%2.%3.%4.%5"/>
      <w:lvlJc w:val="left"/>
      <w:pPr>
        <w:ind w:left="1890" w:hanging="1080"/>
      </w:pPr>
      <w:rPr>
        <w:rFonts w:hint="default"/>
      </w:rPr>
    </w:lvl>
    <w:lvl w:ilvl="5">
      <w:start w:val="1"/>
      <w:numFmt w:val="decimal"/>
      <w:isLgl/>
      <w:lvlText w:val="%1.%2.%3.%4.%5.%6"/>
      <w:lvlJc w:val="left"/>
      <w:pPr>
        <w:ind w:left="225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330" w:hanging="1440"/>
      </w:pPr>
      <w:rPr>
        <w:rFonts w:hint="default"/>
      </w:rPr>
    </w:lvl>
    <w:lvl w:ilvl="8">
      <w:start w:val="1"/>
      <w:numFmt w:val="decimal"/>
      <w:isLgl/>
      <w:lvlText w:val="%1.%2.%3.%4.%5.%6.%7.%8.%9"/>
      <w:lvlJc w:val="left"/>
      <w:pPr>
        <w:ind w:left="4050" w:hanging="1800"/>
      </w:pPr>
      <w:rPr>
        <w:rFonts w:hint="default"/>
      </w:rPr>
    </w:lvl>
  </w:abstractNum>
  <w:abstractNum w:abstractNumId="10" w15:restartNumberingAfterBreak="0">
    <w:nsid w:val="55AF5FF2"/>
    <w:multiLevelType w:val="hybridMultilevel"/>
    <w:tmpl w:val="FF88A1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65110C8E"/>
    <w:multiLevelType w:val="hybridMultilevel"/>
    <w:tmpl w:val="CEB0E1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67FE3A58"/>
    <w:multiLevelType w:val="hybridMultilevel"/>
    <w:tmpl w:val="FBDE24D0"/>
    <w:lvl w:ilvl="0" w:tplc="1C090001">
      <w:start w:val="1"/>
      <w:numFmt w:val="bullet"/>
      <w:lvlText w:val=""/>
      <w:lvlJc w:val="left"/>
      <w:pPr>
        <w:ind w:left="781" w:hanging="360"/>
      </w:pPr>
      <w:rPr>
        <w:rFonts w:ascii="Symbol" w:hAnsi="Symbol" w:hint="default"/>
      </w:rPr>
    </w:lvl>
    <w:lvl w:ilvl="1" w:tplc="1C090003" w:tentative="1">
      <w:start w:val="1"/>
      <w:numFmt w:val="bullet"/>
      <w:lvlText w:val="o"/>
      <w:lvlJc w:val="left"/>
      <w:pPr>
        <w:ind w:left="1501" w:hanging="360"/>
      </w:pPr>
      <w:rPr>
        <w:rFonts w:ascii="Courier New" w:hAnsi="Courier New" w:cs="Courier New" w:hint="default"/>
      </w:rPr>
    </w:lvl>
    <w:lvl w:ilvl="2" w:tplc="1C090005" w:tentative="1">
      <w:start w:val="1"/>
      <w:numFmt w:val="bullet"/>
      <w:lvlText w:val=""/>
      <w:lvlJc w:val="left"/>
      <w:pPr>
        <w:ind w:left="2221" w:hanging="360"/>
      </w:pPr>
      <w:rPr>
        <w:rFonts w:ascii="Wingdings" w:hAnsi="Wingdings" w:hint="default"/>
      </w:rPr>
    </w:lvl>
    <w:lvl w:ilvl="3" w:tplc="1C090001" w:tentative="1">
      <w:start w:val="1"/>
      <w:numFmt w:val="bullet"/>
      <w:lvlText w:val=""/>
      <w:lvlJc w:val="left"/>
      <w:pPr>
        <w:ind w:left="2941" w:hanging="360"/>
      </w:pPr>
      <w:rPr>
        <w:rFonts w:ascii="Symbol" w:hAnsi="Symbol" w:hint="default"/>
      </w:rPr>
    </w:lvl>
    <w:lvl w:ilvl="4" w:tplc="1C090003" w:tentative="1">
      <w:start w:val="1"/>
      <w:numFmt w:val="bullet"/>
      <w:lvlText w:val="o"/>
      <w:lvlJc w:val="left"/>
      <w:pPr>
        <w:ind w:left="3661" w:hanging="360"/>
      </w:pPr>
      <w:rPr>
        <w:rFonts w:ascii="Courier New" w:hAnsi="Courier New" w:cs="Courier New" w:hint="default"/>
      </w:rPr>
    </w:lvl>
    <w:lvl w:ilvl="5" w:tplc="1C090005" w:tentative="1">
      <w:start w:val="1"/>
      <w:numFmt w:val="bullet"/>
      <w:lvlText w:val=""/>
      <w:lvlJc w:val="left"/>
      <w:pPr>
        <w:ind w:left="4381" w:hanging="360"/>
      </w:pPr>
      <w:rPr>
        <w:rFonts w:ascii="Wingdings" w:hAnsi="Wingdings" w:hint="default"/>
      </w:rPr>
    </w:lvl>
    <w:lvl w:ilvl="6" w:tplc="1C090001" w:tentative="1">
      <w:start w:val="1"/>
      <w:numFmt w:val="bullet"/>
      <w:lvlText w:val=""/>
      <w:lvlJc w:val="left"/>
      <w:pPr>
        <w:ind w:left="5101" w:hanging="360"/>
      </w:pPr>
      <w:rPr>
        <w:rFonts w:ascii="Symbol" w:hAnsi="Symbol" w:hint="default"/>
      </w:rPr>
    </w:lvl>
    <w:lvl w:ilvl="7" w:tplc="1C090003" w:tentative="1">
      <w:start w:val="1"/>
      <w:numFmt w:val="bullet"/>
      <w:lvlText w:val="o"/>
      <w:lvlJc w:val="left"/>
      <w:pPr>
        <w:ind w:left="5821" w:hanging="360"/>
      </w:pPr>
      <w:rPr>
        <w:rFonts w:ascii="Courier New" w:hAnsi="Courier New" w:cs="Courier New" w:hint="default"/>
      </w:rPr>
    </w:lvl>
    <w:lvl w:ilvl="8" w:tplc="1C090005" w:tentative="1">
      <w:start w:val="1"/>
      <w:numFmt w:val="bullet"/>
      <w:lvlText w:val=""/>
      <w:lvlJc w:val="left"/>
      <w:pPr>
        <w:ind w:left="6541" w:hanging="360"/>
      </w:pPr>
      <w:rPr>
        <w:rFonts w:ascii="Wingdings" w:hAnsi="Wingdings" w:hint="default"/>
      </w:rPr>
    </w:lvl>
  </w:abstractNum>
  <w:abstractNum w:abstractNumId="13" w15:restartNumberingAfterBreak="0">
    <w:nsid w:val="684A3F1F"/>
    <w:multiLevelType w:val="hybridMultilevel"/>
    <w:tmpl w:val="6CC89E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9B34CBC"/>
    <w:multiLevelType w:val="hybridMultilevel"/>
    <w:tmpl w:val="77683AA2"/>
    <w:lvl w:ilvl="0" w:tplc="5FB062B0">
      <w:numFmt w:val="bullet"/>
      <w:lvlText w:val=""/>
      <w:lvlJc w:val="left"/>
      <w:pPr>
        <w:ind w:left="720" w:hanging="360"/>
      </w:pPr>
      <w:rPr>
        <w:rFonts w:ascii="SymbolMT" w:eastAsia="SymbolMT" w:hAnsi="Arial-BoldMT" w:cs="SymbolMT" w:hint="eastAsia"/>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A690A6C"/>
    <w:multiLevelType w:val="hybridMultilevel"/>
    <w:tmpl w:val="EA485F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6EBE319D"/>
    <w:multiLevelType w:val="hybridMultilevel"/>
    <w:tmpl w:val="10F4CC5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762008F5"/>
    <w:multiLevelType w:val="hybridMultilevel"/>
    <w:tmpl w:val="3E62A8AC"/>
    <w:lvl w:ilvl="0" w:tplc="1C090001">
      <w:start w:val="1"/>
      <w:numFmt w:val="bullet"/>
      <w:lvlText w:val=""/>
      <w:lvlJc w:val="left"/>
      <w:pPr>
        <w:ind w:left="720" w:hanging="360"/>
      </w:pPr>
      <w:rPr>
        <w:rFonts w:ascii="Symbol" w:hAnsi="Symbol" w:hint="default"/>
      </w:rPr>
    </w:lvl>
    <w:lvl w:ilvl="1" w:tplc="6DBC44AA">
      <w:numFmt w:val="bullet"/>
      <w:lvlText w:val="•"/>
      <w:lvlJc w:val="left"/>
      <w:pPr>
        <w:ind w:left="1830" w:hanging="750"/>
      </w:pPr>
      <w:rPr>
        <w:rFonts w:ascii="Calibri" w:eastAsiaTheme="minorHAnsi" w:hAnsi="Calibri" w:cs="Calibri"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408964892">
    <w:abstractNumId w:val="17"/>
  </w:num>
  <w:num w:numId="2" w16cid:durableId="11883912">
    <w:abstractNumId w:val="12"/>
  </w:num>
  <w:num w:numId="3" w16cid:durableId="677200549">
    <w:abstractNumId w:val="6"/>
  </w:num>
  <w:num w:numId="4" w16cid:durableId="54862202">
    <w:abstractNumId w:val="2"/>
  </w:num>
  <w:num w:numId="5" w16cid:durableId="1440834432">
    <w:abstractNumId w:val="15"/>
  </w:num>
  <w:num w:numId="6" w16cid:durableId="308483780">
    <w:abstractNumId w:val="8"/>
  </w:num>
  <w:num w:numId="7" w16cid:durableId="212817272">
    <w:abstractNumId w:val="14"/>
  </w:num>
  <w:num w:numId="8" w16cid:durableId="1204633643">
    <w:abstractNumId w:val="1"/>
  </w:num>
  <w:num w:numId="9" w16cid:durableId="1110511468">
    <w:abstractNumId w:val="7"/>
  </w:num>
  <w:num w:numId="10" w16cid:durableId="614867456">
    <w:abstractNumId w:val="10"/>
  </w:num>
  <w:num w:numId="11" w16cid:durableId="932399660">
    <w:abstractNumId w:val="4"/>
  </w:num>
  <w:num w:numId="12" w16cid:durableId="1019892407">
    <w:abstractNumId w:val="11"/>
  </w:num>
  <w:num w:numId="13" w16cid:durableId="1083839502">
    <w:abstractNumId w:val="5"/>
  </w:num>
  <w:num w:numId="14" w16cid:durableId="1227253912">
    <w:abstractNumId w:val="13"/>
  </w:num>
  <w:num w:numId="15" w16cid:durableId="1399402029">
    <w:abstractNumId w:val="3"/>
  </w:num>
  <w:num w:numId="16" w16cid:durableId="1072125037">
    <w:abstractNumId w:val="0"/>
  </w:num>
  <w:num w:numId="17" w16cid:durableId="280722772">
    <w:abstractNumId w:val="9"/>
  </w:num>
  <w:num w:numId="18" w16cid:durableId="7716255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0E2"/>
    <w:rsid w:val="00001C51"/>
    <w:rsid w:val="00002592"/>
    <w:rsid w:val="00031DCD"/>
    <w:rsid w:val="00040CAF"/>
    <w:rsid w:val="00042E52"/>
    <w:rsid w:val="00045A11"/>
    <w:rsid w:val="00047B91"/>
    <w:rsid w:val="00057C7E"/>
    <w:rsid w:val="00064DE2"/>
    <w:rsid w:val="00090309"/>
    <w:rsid w:val="000A211B"/>
    <w:rsid w:val="000B33B5"/>
    <w:rsid w:val="000D088D"/>
    <w:rsid w:val="000D536C"/>
    <w:rsid w:val="000F1B67"/>
    <w:rsid w:val="00113C4E"/>
    <w:rsid w:val="00143653"/>
    <w:rsid w:val="0015533A"/>
    <w:rsid w:val="001854E2"/>
    <w:rsid w:val="001A4AD6"/>
    <w:rsid w:val="001C0350"/>
    <w:rsid w:val="001C4B2E"/>
    <w:rsid w:val="001E1643"/>
    <w:rsid w:val="001E3996"/>
    <w:rsid w:val="0020111F"/>
    <w:rsid w:val="00251223"/>
    <w:rsid w:val="00266D5C"/>
    <w:rsid w:val="00286785"/>
    <w:rsid w:val="00290690"/>
    <w:rsid w:val="002A4D6E"/>
    <w:rsid w:val="002B1898"/>
    <w:rsid w:val="002B6E54"/>
    <w:rsid w:val="002C11D7"/>
    <w:rsid w:val="002E7299"/>
    <w:rsid w:val="002F1A4A"/>
    <w:rsid w:val="002F357C"/>
    <w:rsid w:val="002F59A4"/>
    <w:rsid w:val="002F7F5A"/>
    <w:rsid w:val="003003A6"/>
    <w:rsid w:val="00316A59"/>
    <w:rsid w:val="003364F7"/>
    <w:rsid w:val="003446AD"/>
    <w:rsid w:val="00355875"/>
    <w:rsid w:val="003718D9"/>
    <w:rsid w:val="00393EF0"/>
    <w:rsid w:val="00394102"/>
    <w:rsid w:val="003A3D7A"/>
    <w:rsid w:val="003C1745"/>
    <w:rsid w:val="003C638F"/>
    <w:rsid w:val="003D70EE"/>
    <w:rsid w:val="003E320B"/>
    <w:rsid w:val="003F1CCA"/>
    <w:rsid w:val="003F37E6"/>
    <w:rsid w:val="003F6EFD"/>
    <w:rsid w:val="00415237"/>
    <w:rsid w:val="00416BF5"/>
    <w:rsid w:val="00417917"/>
    <w:rsid w:val="0043487F"/>
    <w:rsid w:val="00436AEE"/>
    <w:rsid w:val="004737EA"/>
    <w:rsid w:val="00477DF9"/>
    <w:rsid w:val="00493F70"/>
    <w:rsid w:val="0049490B"/>
    <w:rsid w:val="004A43E3"/>
    <w:rsid w:val="004B6311"/>
    <w:rsid w:val="004B7557"/>
    <w:rsid w:val="004C0336"/>
    <w:rsid w:val="004C6A97"/>
    <w:rsid w:val="004D7354"/>
    <w:rsid w:val="004E2274"/>
    <w:rsid w:val="004E56CA"/>
    <w:rsid w:val="004E7D63"/>
    <w:rsid w:val="0050376F"/>
    <w:rsid w:val="00553C61"/>
    <w:rsid w:val="00560A09"/>
    <w:rsid w:val="00567267"/>
    <w:rsid w:val="00576FF1"/>
    <w:rsid w:val="00593BB3"/>
    <w:rsid w:val="00595648"/>
    <w:rsid w:val="005A0A21"/>
    <w:rsid w:val="005A62D2"/>
    <w:rsid w:val="005B31FA"/>
    <w:rsid w:val="005B32E1"/>
    <w:rsid w:val="005C230B"/>
    <w:rsid w:val="005C43EC"/>
    <w:rsid w:val="005D0305"/>
    <w:rsid w:val="005D2DD3"/>
    <w:rsid w:val="005D3D50"/>
    <w:rsid w:val="005E124D"/>
    <w:rsid w:val="005F1A2D"/>
    <w:rsid w:val="005F29B5"/>
    <w:rsid w:val="00601B6C"/>
    <w:rsid w:val="00603ABF"/>
    <w:rsid w:val="00604BFB"/>
    <w:rsid w:val="00643167"/>
    <w:rsid w:val="00653750"/>
    <w:rsid w:val="00657DEE"/>
    <w:rsid w:val="00666770"/>
    <w:rsid w:val="00676C1A"/>
    <w:rsid w:val="006815EF"/>
    <w:rsid w:val="00691342"/>
    <w:rsid w:val="006A70B1"/>
    <w:rsid w:val="006B358C"/>
    <w:rsid w:val="006C1C66"/>
    <w:rsid w:val="006C21F5"/>
    <w:rsid w:val="006C535E"/>
    <w:rsid w:val="006C7CE4"/>
    <w:rsid w:val="006E13FB"/>
    <w:rsid w:val="006F1126"/>
    <w:rsid w:val="00704452"/>
    <w:rsid w:val="00704F90"/>
    <w:rsid w:val="00723B4B"/>
    <w:rsid w:val="0072709E"/>
    <w:rsid w:val="0074119A"/>
    <w:rsid w:val="00743C6C"/>
    <w:rsid w:val="00746FA4"/>
    <w:rsid w:val="0076043E"/>
    <w:rsid w:val="00765DD2"/>
    <w:rsid w:val="00783368"/>
    <w:rsid w:val="007930E2"/>
    <w:rsid w:val="007939BD"/>
    <w:rsid w:val="007B2C56"/>
    <w:rsid w:val="007B473F"/>
    <w:rsid w:val="007C074E"/>
    <w:rsid w:val="007C181F"/>
    <w:rsid w:val="007C6CAB"/>
    <w:rsid w:val="007F5E22"/>
    <w:rsid w:val="007F612A"/>
    <w:rsid w:val="00805953"/>
    <w:rsid w:val="00820927"/>
    <w:rsid w:val="008324E9"/>
    <w:rsid w:val="008452D8"/>
    <w:rsid w:val="00845BC1"/>
    <w:rsid w:val="00852E4E"/>
    <w:rsid w:val="00873537"/>
    <w:rsid w:val="008D7571"/>
    <w:rsid w:val="008E289C"/>
    <w:rsid w:val="008E2E02"/>
    <w:rsid w:val="00915270"/>
    <w:rsid w:val="00921B7F"/>
    <w:rsid w:val="00935913"/>
    <w:rsid w:val="00936052"/>
    <w:rsid w:val="00957ECE"/>
    <w:rsid w:val="009616A5"/>
    <w:rsid w:val="0097252C"/>
    <w:rsid w:val="00982BF2"/>
    <w:rsid w:val="009849FA"/>
    <w:rsid w:val="00994DEF"/>
    <w:rsid w:val="009A09A9"/>
    <w:rsid w:val="009A21E9"/>
    <w:rsid w:val="009B3FDE"/>
    <w:rsid w:val="009B469E"/>
    <w:rsid w:val="009B4DB1"/>
    <w:rsid w:val="009B5EE2"/>
    <w:rsid w:val="009C2E48"/>
    <w:rsid w:val="009D3B99"/>
    <w:rsid w:val="009D5C08"/>
    <w:rsid w:val="009D5D00"/>
    <w:rsid w:val="00A14B80"/>
    <w:rsid w:val="00A34628"/>
    <w:rsid w:val="00A404F7"/>
    <w:rsid w:val="00A6102C"/>
    <w:rsid w:val="00A74E5A"/>
    <w:rsid w:val="00A7711F"/>
    <w:rsid w:val="00AA1B73"/>
    <w:rsid w:val="00AA32E4"/>
    <w:rsid w:val="00AA5954"/>
    <w:rsid w:val="00AB48F2"/>
    <w:rsid w:val="00AC136F"/>
    <w:rsid w:val="00AD1685"/>
    <w:rsid w:val="00AD1FD9"/>
    <w:rsid w:val="00AD3CC8"/>
    <w:rsid w:val="00B03650"/>
    <w:rsid w:val="00B125E7"/>
    <w:rsid w:val="00B36CDA"/>
    <w:rsid w:val="00B36EE8"/>
    <w:rsid w:val="00B43944"/>
    <w:rsid w:val="00B50350"/>
    <w:rsid w:val="00B61529"/>
    <w:rsid w:val="00B84B12"/>
    <w:rsid w:val="00B85485"/>
    <w:rsid w:val="00BB61E4"/>
    <w:rsid w:val="00BF7797"/>
    <w:rsid w:val="00C22533"/>
    <w:rsid w:val="00C23EA6"/>
    <w:rsid w:val="00C33084"/>
    <w:rsid w:val="00C35A51"/>
    <w:rsid w:val="00C36BC6"/>
    <w:rsid w:val="00C457D6"/>
    <w:rsid w:val="00C56143"/>
    <w:rsid w:val="00C61EFF"/>
    <w:rsid w:val="00C65259"/>
    <w:rsid w:val="00C8379C"/>
    <w:rsid w:val="00C94181"/>
    <w:rsid w:val="00CB1667"/>
    <w:rsid w:val="00CD091D"/>
    <w:rsid w:val="00CD5B0B"/>
    <w:rsid w:val="00CF5315"/>
    <w:rsid w:val="00D018B8"/>
    <w:rsid w:val="00D16495"/>
    <w:rsid w:val="00D42A92"/>
    <w:rsid w:val="00D52426"/>
    <w:rsid w:val="00D52485"/>
    <w:rsid w:val="00D567DD"/>
    <w:rsid w:val="00D61BA6"/>
    <w:rsid w:val="00D77F7F"/>
    <w:rsid w:val="00D927D3"/>
    <w:rsid w:val="00DC53C2"/>
    <w:rsid w:val="00DD0CD5"/>
    <w:rsid w:val="00DE1C5A"/>
    <w:rsid w:val="00DE33B6"/>
    <w:rsid w:val="00DF6134"/>
    <w:rsid w:val="00E06F51"/>
    <w:rsid w:val="00E14AD8"/>
    <w:rsid w:val="00E16DFE"/>
    <w:rsid w:val="00E31673"/>
    <w:rsid w:val="00E35E9D"/>
    <w:rsid w:val="00E36709"/>
    <w:rsid w:val="00E4060C"/>
    <w:rsid w:val="00E577B6"/>
    <w:rsid w:val="00E62D92"/>
    <w:rsid w:val="00E67FCC"/>
    <w:rsid w:val="00E803AA"/>
    <w:rsid w:val="00EB1996"/>
    <w:rsid w:val="00EC42FD"/>
    <w:rsid w:val="00ED32C1"/>
    <w:rsid w:val="00ED4EC0"/>
    <w:rsid w:val="00ED674D"/>
    <w:rsid w:val="00EF13AC"/>
    <w:rsid w:val="00F1766F"/>
    <w:rsid w:val="00F3214E"/>
    <w:rsid w:val="00F62471"/>
    <w:rsid w:val="00F64A30"/>
    <w:rsid w:val="00F747C8"/>
    <w:rsid w:val="00F810BF"/>
    <w:rsid w:val="00FA04A4"/>
    <w:rsid w:val="00FE6899"/>
    <w:rsid w:val="00FF3202"/>
    <w:rsid w:val="00FF7E04"/>
    <w:rsid w:val="1441034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E2FC4F"/>
  <w15:chartTrackingRefBased/>
  <w15:docId w15:val="{BA262774-3663-4A3F-9984-7D43E2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30E2"/>
    <w:pPr>
      <w:tabs>
        <w:tab w:val="center" w:pos="4680"/>
        <w:tab w:val="right" w:pos="9360"/>
      </w:tabs>
    </w:pPr>
  </w:style>
  <w:style w:type="character" w:customStyle="1" w:styleId="HeaderChar">
    <w:name w:val="Header Char"/>
    <w:basedOn w:val="DefaultParagraphFont"/>
    <w:link w:val="Header"/>
    <w:uiPriority w:val="99"/>
    <w:rsid w:val="007930E2"/>
  </w:style>
  <w:style w:type="paragraph" w:styleId="Footer">
    <w:name w:val="footer"/>
    <w:basedOn w:val="Normal"/>
    <w:link w:val="FooterChar"/>
    <w:uiPriority w:val="99"/>
    <w:unhideWhenUsed/>
    <w:rsid w:val="007930E2"/>
    <w:pPr>
      <w:tabs>
        <w:tab w:val="center" w:pos="4680"/>
        <w:tab w:val="right" w:pos="9360"/>
      </w:tabs>
    </w:pPr>
  </w:style>
  <w:style w:type="character" w:customStyle="1" w:styleId="FooterChar">
    <w:name w:val="Footer Char"/>
    <w:basedOn w:val="DefaultParagraphFont"/>
    <w:link w:val="Footer"/>
    <w:uiPriority w:val="99"/>
    <w:rsid w:val="007930E2"/>
  </w:style>
  <w:style w:type="paragraph" w:styleId="BalloonText">
    <w:name w:val="Balloon Text"/>
    <w:basedOn w:val="Normal"/>
    <w:link w:val="BalloonTextChar"/>
    <w:uiPriority w:val="99"/>
    <w:semiHidden/>
    <w:unhideWhenUsed/>
    <w:rsid w:val="004B63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311"/>
    <w:rPr>
      <w:rFonts w:ascii="Segoe UI" w:hAnsi="Segoe UI" w:cs="Segoe UI"/>
      <w:sz w:val="18"/>
      <w:szCs w:val="18"/>
    </w:rPr>
  </w:style>
  <w:style w:type="character" w:styleId="Hyperlink">
    <w:name w:val="Hyperlink"/>
    <w:basedOn w:val="DefaultParagraphFont"/>
    <w:uiPriority w:val="99"/>
    <w:unhideWhenUsed/>
    <w:rsid w:val="009849FA"/>
    <w:rPr>
      <w:color w:val="0563C1" w:themeColor="hyperlink"/>
      <w:u w:val="single"/>
    </w:rPr>
  </w:style>
  <w:style w:type="paragraph" w:styleId="ListParagraph">
    <w:name w:val="List Paragraph"/>
    <w:basedOn w:val="Normal"/>
    <w:uiPriority w:val="34"/>
    <w:qFormat/>
    <w:rsid w:val="00002592"/>
    <w:pPr>
      <w:spacing w:after="160" w:line="259" w:lineRule="auto"/>
      <w:ind w:left="720"/>
      <w:contextualSpacing/>
    </w:pPr>
    <w:rPr>
      <w:sz w:val="22"/>
      <w:szCs w:val="22"/>
    </w:rPr>
  </w:style>
  <w:style w:type="paragraph" w:styleId="NormalWeb">
    <w:name w:val="Normal (Web)"/>
    <w:basedOn w:val="Normal"/>
    <w:uiPriority w:val="99"/>
    <w:semiHidden/>
    <w:unhideWhenUsed/>
    <w:rsid w:val="00553C61"/>
    <w:rPr>
      <w:rFonts w:ascii="Times New Roman" w:hAnsi="Times New Roman" w:cs="Times New Roman"/>
    </w:rPr>
  </w:style>
  <w:style w:type="character" w:styleId="UnresolvedMention">
    <w:name w:val="Unresolved Mention"/>
    <w:basedOn w:val="DefaultParagraphFont"/>
    <w:uiPriority w:val="99"/>
    <w:semiHidden/>
    <w:unhideWhenUsed/>
    <w:rsid w:val="00560A09"/>
    <w:rPr>
      <w:color w:val="605E5C"/>
      <w:shd w:val="clear" w:color="auto" w:fill="E1DFDD"/>
    </w:rPr>
  </w:style>
  <w:style w:type="paragraph" w:customStyle="1" w:styleId="Default">
    <w:name w:val="Default"/>
    <w:rsid w:val="00765DD2"/>
    <w:pPr>
      <w:autoSpaceDE w:val="0"/>
      <w:autoSpaceDN w:val="0"/>
      <w:adjustRightInd w:val="0"/>
    </w:pPr>
    <w:rPr>
      <w:rFonts w:ascii="Century Gothic" w:hAnsi="Century Gothic" w:cs="Century Gothic"/>
      <w:color w:val="000000"/>
    </w:rPr>
  </w:style>
  <w:style w:type="paragraph" w:customStyle="1" w:styleId="Para">
    <w:name w:val="Par(a)"/>
    <w:basedOn w:val="Normal"/>
    <w:rsid w:val="00D77F7F"/>
    <w:pPr>
      <w:widowControl w:val="0"/>
      <w:overflowPunct w:val="0"/>
      <w:autoSpaceDE w:val="0"/>
      <w:autoSpaceDN w:val="0"/>
      <w:adjustRightInd w:val="0"/>
      <w:spacing w:after="240"/>
      <w:ind w:left="1560" w:hanging="539"/>
      <w:jc w:val="both"/>
      <w:textAlignment w:val="baseline"/>
    </w:pPr>
    <w:rPr>
      <w:rFonts w:ascii="Arial" w:eastAsia="Times New Roman" w:hAnsi="Arial" w:cs="Times New Roman"/>
      <w:szCs w:val="20"/>
      <w:lang w:val="en-GB"/>
    </w:rPr>
  </w:style>
  <w:style w:type="paragraph" w:styleId="BodyText">
    <w:name w:val="Body Text"/>
    <w:basedOn w:val="Normal"/>
    <w:link w:val="BodyTextChar"/>
    <w:rsid w:val="00D77F7F"/>
    <w:pPr>
      <w:overflowPunct w:val="0"/>
      <w:autoSpaceDE w:val="0"/>
      <w:autoSpaceDN w:val="0"/>
      <w:adjustRightInd w:val="0"/>
      <w:textAlignment w:val="baseline"/>
    </w:pPr>
    <w:rPr>
      <w:rFonts w:ascii="Arial" w:eastAsia="Times New Roman" w:hAnsi="Arial" w:cs="Times New Roman"/>
      <w:sz w:val="22"/>
      <w:szCs w:val="20"/>
      <w:lang w:val="en-US"/>
    </w:rPr>
  </w:style>
  <w:style w:type="character" w:customStyle="1" w:styleId="BodyTextChar">
    <w:name w:val="Body Text Char"/>
    <w:basedOn w:val="DefaultParagraphFont"/>
    <w:link w:val="BodyText"/>
    <w:rsid w:val="00D77F7F"/>
    <w:rPr>
      <w:rFonts w:ascii="Arial" w:eastAsia="Times New Roman" w:hAnsi="Arial" w:cs="Times New Roman"/>
      <w:sz w:val="22"/>
      <w:szCs w:val="20"/>
      <w:lang w:val="en-US"/>
    </w:rPr>
  </w:style>
  <w:style w:type="table" w:styleId="TableGrid">
    <w:name w:val="Table Grid"/>
    <w:basedOn w:val="TableNormal"/>
    <w:uiPriority w:val="59"/>
    <w:rsid w:val="002F357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6C1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33257">
      <w:bodyDiv w:val="1"/>
      <w:marLeft w:val="0"/>
      <w:marRight w:val="0"/>
      <w:marTop w:val="0"/>
      <w:marBottom w:val="0"/>
      <w:divBdr>
        <w:top w:val="none" w:sz="0" w:space="0" w:color="auto"/>
        <w:left w:val="none" w:sz="0" w:space="0" w:color="auto"/>
        <w:bottom w:val="none" w:sz="0" w:space="0" w:color="auto"/>
        <w:right w:val="none" w:sz="0" w:space="0" w:color="auto"/>
      </w:divBdr>
    </w:div>
    <w:div w:id="495191414">
      <w:bodyDiv w:val="1"/>
      <w:marLeft w:val="0"/>
      <w:marRight w:val="0"/>
      <w:marTop w:val="0"/>
      <w:marBottom w:val="0"/>
      <w:divBdr>
        <w:top w:val="none" w:sz="0" w:space="0" w:color="auto"/>
        <w:left w:val="none" w:sz="0" w:space="0" w:color="auto"/>
        <w:bottom w:val="none" w:sz="0" w:space="0" w:color="auto"/>
        <w:right w:val="none" w:sz="0" w:space="0" w:color="auto"/>
      </w:divBdr>
    </w:div>
    <w:div w:id="591358514">
      <w:bodyDiv w:val="1"/>
      <w:marLeft w:val="0"/>
      <w:marRight w:val="0"/>
      <w:marTop w:val="0"/>
      <w:marBottom w:val="0"/>
      <w:divBdr>
        <w:top w:val="none" w:sz="0" w:space="0" w:color="auto"/>
        <w:left w:val="none" w:sz="0" w:space="0" w:color="auto"/>
        <w:bottom w:val="none" w:sz="0" w:space="0" w:color="auto"/>
        <w:right w:val="none" w:sz="0" w:space="0" w:color="auto"/>
      </w:divBdr>
    </w:div>
    <w:div w:id="599262783">
      <w:bodyDiv w:val="1"/>
      <w:marLeft w:val="0"/>
      <w:marRight w:val="0"/>
      <w:marTop w:val="0"/>
      <w:marBottom w:val="0"/>
      <w:divBdr>
        <w:top w:val="none" w:sz="0" w:space="0" w:color="auto"/>
        <w:left w:val="none" w:sz="0" w:space="0" w:color="auto"/>
        <w:bottom w:val="none" w:sz="0" w:space="0" w:color="auto"/>
        <w:right w:val="none" w:sz="0" w:space="0" w:color="auto"/>
      </w:divBdr>
    </w:div>
    <w:div w:id="776173796">
      <w:bodyDiv w:val="1"/>
      <w:marLeft w:val="0"/>
      <w:marRight w:val="0"/>
      <w:marTop w:val="0"/>
      <w:marBottom w:val="0"/>
      <w:divBdr>
        <w:top w:val="none" w:sz="0" w:space="0" w:color="auto"/>
        <w:left w:val="none" w:sz="0" w:space="0" w:color="auto"/>
        <w:bottom w:val="none" w:sz="0" w:space="0" w:color="auto"/>
        <w:right w:val="none" w:sz="0" w:space="0" w:color="auto"/>
      </w:divBdr>
    </w:div>
    <w:div w:id="936712219">
      <w:bodyDiv w:val="1"/>
      <w:marLeft w:val="0"/>
      <w:marRight w:val="0"/>
      <w:marTop w:val="0"/>
      <w:marBottom w:val="0"/>
      <w:divBdr>
        <w:top w:val="none" w:sz="0" w:space="0" w:color="auto"/>
        <w:left w:val="none" w:sz="0" w:space="0" w:color="auto"/>
        <w:bottom w:val="none" w:sz="0" w:space="0" w:color="auto"/>
        <w:right w:val="none" w:sz="0" w:space="0" w:color="auto"/>
      </w:divBdr>
    </w:div>
    <w:div w:id="1007244628">
      <w:bodyDiv w:val="1"/>
      <w:marLeft w:val="0"/>
      <w:marRight w:val="0"/>
      <w:marTop w:val="0"/>
      <w:marBottom w:val="0"/>
      <w:divBdr>
        <w:top w:val="none" w:sz="0" w:space="0" w:color="auto"/>
        <w:left w:val="none" w:sz="0" w:space="0" w:color="auto"/>
        <w:bottom w:val="none" w:sz="0" w:space="0" w:color="auto"/>
        <w:right w:val="none" w:sz="0" w:space="0" w:color="auto"/>
      </w:divBdr>
    </w:div>
    <w:div w:id="1065300332">
      <w:bodyDiv w:val="1"/>
      <w:marLeft w:val="0"/>
      <w:marRight w:val="0"/>
      <w:marTop w:val="0"/>
      <w:marBottom w:val="0"/>
      <w:divBdr>
        <w:top w:val="none" w:sz="0" w:space="0" w:color="auto"/>
        <w:left w:val="none" w:sz="0" w:space="0" w:color="auto"/>
        <w:bottom w:val="none" w:sz="0" w:space="0" w:color="auto"/>
        <w:right w:val="none" w:sz="0" w:space="0" w:color="auto"/>
      </w:divBdr>
    </w:div>
    <w:div w:id="19626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85FE43324ACF478EAE7B484EC8A1FF" ma:contentTypeVersion="12" ma:contentTypeDescription="Create a new document." ma:contentTypeScope="" ma:versionID="3634f0ee471b52858a7c0fd11d1303ea">
  <xsd:schema xmlns:xsd="http://www.w3.org/2001/XMLSchema" xmlns:xs="http://www.w3.org/2001/XMLSchema" xmlns:p="http://schemas.microsoft.com/office/2006/metadata/properties" xmlns:ns2="df11d76e-c296-45b4-9642-226537d3c58e" xmlns:ns3="cb3f0842-7fb6-4b1c-bde6-0851d3b3dec5" targetNamespace="http://schemas.microsoft.com/office/2006/metadata/properties" ma:root="true" ma:fieldsID="b9a0fa26253a78691a733e7d6499a5f0" ns2:_="" ns3:_="">
    <xsd:import namespace="df11d76e-c296-45b4-9642-226537d3c58e"/>
    <xsd:import namespace="cb3f0842-7fb6-4b1c-bde6-0851d3b3de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11d76e-c296-45b4-9642-226537d3c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1fa9f3-0736-42b7-8139-eaaf713cff9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3f0842-7fb6-4b1c-bde6-0851d3b3de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e9944fa-efab-4741-ba41-507cb8f6b66a}" ma:internalName="TaxCatchAll" ma:showField="CatchAllData" ma:web="cb3f0842-7fb6-4b1c-bde6-0851d3b3de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11d76e-c296-45b4-9642-226537d3c58e">
      <Terms xmlns="http://schemas.microsoft.com/office/infopath/2007/PartnerControls"/>
    </lcf76f155ced4ddcb4097134ff3c332f>
    <TaxCatchAll xmlns="cb3f0842-7fb6-4b1c-bde6-0851d3b3dec5" xsi:nil="true"/>
  </documentManagement>
</p:properties>
</file>

<file path=customXml/itemProps1.xml><?xml version="1.0" encoding="utf-8"?>
<ds:datastoreItem xmlns:ds="http://schemas.openxmlformats.org/officeDocument/2006/customXml" ds:itemID="{0BAFF86D-D3C8-4778-8D64-041B63C2F93D}">
  <ds:schemaRefs>
    <ds:schemaRef ds:uri="http://schemas.microsoft.com/sharepoint/v3/contenttype/forms"/>
  </ds:schemaRefs>
</ds:datastoreItem>
</file>

<file path=customXml/itemProps2.xml><?xml version="1.0" encoding="utf-8"?>
<ds:datastoreItem xmlns:ds="http://schemas.openxmlformats.org/officeDocument/2006/customXml" ds:itemID="{B63E0218-D70C-480E-8DF7-A1E1F37159D0}"/>
</file>

<file path=customXml/itemProps3.xml><?xml version="1.0" encoding="utf-8"?>
<ds:datastoreItem xmlns:ds="http://schemas.openxmlformats.org/officeDocument/2006/customXml" ds:itemID="{14E6C376-4C46-4357-90BE-BA2F14243B4E}">
  <ds:schemaRefs>
    <ds:schemaRef ds:uri="http://schemas.microsoft.com/office/2006/metadata/properties"/>
    <ds:schemaRef ds:uri="http://schemas.microsoft.com/office/infopath/2007/PartnerControls"/>
    <ds:schemaRef ds:uri="8468c9f3-b6fe-4abd-8132-7fb9377b9a25"/>
    <ds:schemaRef ds:uri="c9f7c95c-775f-4f37-9e5c-1af8cb2137c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1840</Words>
  <Characters>11598</Characters>
  <Application>Microsoft Office Word</Application>
  <DocSecurity>0</DocSecurity>
  <Lines>216</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Luyolo Mabula</cp:lastModifiedBy>
  <cp:revision>2</cp:revision>
  <cp:lastPrinted>2021-03-17T15:58:00Z</cp:lastPrinted>
  <dcterms:created xsi:type="dcterms:W3CDTF">2025-05-30T09:27:00Z</dcterms:created>
  <dcterms:modified xsi:type="dcterms:W3CDTF">2025-05-30T09:27:00Z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0x010100BE85FE43324ACF478EAE7B484EC8A1FF</vt:lpwstr>
  </property>
  <property fmtid="{D5CDD505-2E9C-101B-9397-08002B2CF9AE}" pid="3" name="MediaServiceImageTags">
    <vt:lpwstr/>
  </property>
  <property fmtid="{D5CDD505-2E9C-101B-9397-08002B2CF9AE}" pid="4" name="GrammarlyDocumentId">
    <vt:lpwstr>60fff8b8-d694-47c9-8daf-400ead3e6264</vt:lpwstr>
  </property>
</Properties>
</file>