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5BB69" w14:textId="77777777" w:rsidR="00B57BAC" w:rsidRPr="00DE3112" w:rsidRDefault="00B57BAC" w:rsidP="00B57BAC">
      <w:pPr>
        <w:spacing w:line="276" w:lineRule="auto"/>
        <w:jc w:val="both"/>
        <w:rPr>
          <w:rFonts w:ascii="Arial" w:hAnsi="Arial" w:cs="Arial"/>
          <w:sz w:val="22"/>
          <w:szCs w:val="22"/>
        </w:rPr>
      </w:pPr>
      <w:r w:rsidRPr="00DE3112">
        <w:rPr>
          <w:rFonts w:ascii="Arial" w:hAnsi="Arial" w:cs="Arial"/>
          <w:sz w:val="22"/>
          <w:szCs w:val="22"/>
        </w:rPr>
        <w:tab/>
      </w:r>
      <w:r w:rsidRPr="00DE3112">
        <w:rPr>
          <w:rFonts w:ascii="Arial" w:hAnsi="Arial" w:cs="Arial"/>
          <w:sz w:val="22"/>
          <w:szCs w:val="22"/>
        </w:rPr>
        <w:tab/>
      </w:r>
      <w:r w:rsidRPr="00DE3112">
        <w:rPr>
          <w:rFonts w:ascii="Arial" w:hAnsi="Arial" w:cs="Arial"/>
          <w:sz w:val="22"/>
          <w:szCs w:val="22"/>
        </w:rPr>
        <w:tab/>
      </w:r>
      <w:r w:rsidRPr="00DE3112">
        <w:rPr>
          <w:rFonts w:ascii="Arial" w:hAnsi="Arial" w:cs="Arial"/>
          <w:sz w:val="22"/>
          <w:szCs w:val="22"/>
        </w:rPr>
        <w:tab/>
      </w:r>
    </w:p>
    <w:p w14:paraId="6F339E9B" w14:textId="77777777" w:rsidR="00B57BAC" w:rsidRPr="00DE3112" w:rsidRDefault="00B57BAC" w:rsidP="00B57BAC">
      <w:pPr>
        <w:spacing w:line="276" w:lineRule="auto"/>
        <w:jc w:val="both"/>
        <w:rPr>
          <w:rFonts w:ascii="Arial" w:hAnsi="Arial" w:cs="Arial"/>
          <w:sz w:val="22"/>
          <w:szCs w:val="22"/>
        </w:rPr>
      </w:pPr>
    </w:p>
    <w:p w14:paraId="2A589CFE" w14:textId="77777777" w:rsidR="00B57BAC" w:rsidRPr="00DE3112" w:rsidRDefault="00B57BAC" w:rsidP="00B57BAC">
      <w:pPr>
        <w:spacing w:line="276" w:lineRule="auto"/>
        <w:jc w:val="both"/>
        <w:rPr>
          <w:rFonts w:ascii="Arial" w:hAnsi="Arial" w:cs="Arial"/>
          <w:sz w:val="22"/>
          <w:szCs w:val="22"/>
        </w:rPr>
      </w:pPr>
    </w:p>
    <w:p w14:paraId="248B7958" w14:textId="77777777" w:rsidR="00B57BAC" w:rsidRPr="00DE3112" w:rsidRDefault="00B57BAC" w:rsidP="00B57BAC">
      <w:pPr>
        <w:spacing w:line="276" w:lineRule="auto"/>
        <w:jc w:val="both"/>
        <w:rPr>
          <w:rFonts w:ascii="Arial" w:hAnsi="Arial" w:cs="Arial"/>
          <w:sz w:val="22"/>
          <w:szCs w:val="22"/>
        </w:rPr>
      </w:pPr>
    </w:p>
    <w:p w14:paraId="15BAD9DF" w14:textId="77777777" w:rsidR="00B57BAC" w:rsidRPr="00DE3112" w:rsidRDefault="00B57BAC" w:rsidP="00B57BAC">
      <w:pPr>
        <w:spacing w:line="276" w:lineRule="auto"/>
        <w:jc w:val="both"/>
        <w:rPr>
          <w:rFonts w:ascii="Arial" w:hAnsi="Arial" w:cs="Arial"/>
          <w:sz w:val="22"/>
          <w:szCs w:val="22"/>
        </w:rPr>
      </w:pPr>
    </w:p>
    <w:p w14:paraId="3C44FCA1" w14:textId="77777777" w:rsidR="00B57BAC" w:rsidRPr="00DE3112" w:rsidRDefault="00B57BAC" w:rsidP="00B57BAC">
      <w:pPr>
        <w:spacing w:line="276" w:lineRule="auto"/>
        <w:jc w:val="both"/>
        <w:rPr>
          <w:rFonts w:ascii="Arial" w:hAnsi="Arial" w:cs="Arial"/>
          <w:sz w:val="22"/>
          <w:szCs w:val="22"/>
          <w:lang w:val="en-GB"/>
        </w:rPr>
      </w:pPr>
    </w:p>
    <w:p w14:paraId="3D9C844E" w14:textId="47024602" w:rsidR="00B57BAC" w:rsidRPr="00DE3112" w:rsidRDefault="00B57BAC" w:rsidP="00B57BAC">
      <w:pPr>
        <w:spacing w:line="276" w:lineRule="auto"/>
        <w:ind w:left="3600" w:firstLine="720"/>
        <w:jc w:val="both"/>
        <w:rPr>
          <w:rFonts w:ascii="Arial" w:hAnsi="Arial" w:cs="Arial"/>
          <w:b/>
          <w:bCs/>
          <w:sz w:val="22"/>
          <w:szCs w:val="22"/>
        </w:rPr>
      </w:pPr>
      <w:r>
        <w:rPr>
          <w:rFonts w:ascii="Arial" w:hAnsi="Arial" w:cs="Arial"/>
          <w:b/>
          <w:bCs/>
          <w:sz w:val="22"/>
          <w:szCs w:val="22"/>
        </w:rPr>
        <w:t>Advisory Note Resolution Number: AN 8/202</w:t>
      </w:r>
      <w:r>
        <w:rPr>
          <w:rFonts w:ascii="Arial" w:hAnsi="Arial" w:cs="Arial"/>
          <w:b/>
          <w:bCs/>
          <w:sz w:val="22"/>
          <w:szCs w:val="22"/>
        </w:rPr>
        <w:t>5</w:t>
      </w:r>
    </w:p>
    <w:p w14:paraId="388C79AE" w14:textId="77777777" w:rsidR="00B57BAC" w:rsidRPr="00DE3112" w:rsidRDefault="00B57BAC" w:rsidP="00B57BAC">
      <w:pPr>
        <w:spacing w:line="276" w:lineRule="auto"/>
        <w:ind w:left="567" w:hanging="567"/>
        <w:jc w:val="both"/>
        <w:rPr>
          <w:rFonts w:ascii="Arial" w:eastAsia="Times New Roman" w:hAnsi="Arial" w:cs="Arial"/>
          <w:b/>
          <w:bCs/>
          <w:sz w:val="22"/>
          <w:szCs w:val="22"/>
          <w:lang w:eastAsia="en-ZA"/>
        </w:rPr>
      </w:pPr>
    </w:p>
    <w:p w14:paraId="0024DDC9" w14:textId="77777777" w:rsidR="00B57BAC" w:rsidRDefault="00B57BAC" w:rsidP="00B57BAC">
      <w:pPr>
        <w:spacing w:before="100" w:beforeAutospacing="1" w:after="100" w:afterAutospacing="1" w:line="276" w:lineRule="auto"/>
        <w:rPr>
          <w:rFonts w:ascii="Arial" w:eastAsia="Times New Roman" w:hAnsi="Arial" w:cs="Arial"/>
          <w:b/>
          <w:bCs/>
          <w:sz w:val="22"/>
          <w:szCs w:val="22"/>
          <w:lang w:eastAsia="en-ZA"/>
        </w:rPr>
      </w:pPr>
      <w:r>
        <w:rPr>
          <w:rFonts w:ascii="Arial" w:eastAsia="Times New Roman" w:hAnsi="Arial" w:cs="Arial"/>
          <w:b/>
          <w:bCs/>
          <w:sz w:val="22"/>
          <w:szCs w:val="22"/>
          <w:lang w:eastAsia="en-ZA"/>
        </w:rPr>
        <w:t xml:space="preserve">Advisory Note on </w:t>
      </w:r>
      <w:r w:rsidRPr="003D3AFB">
        <w:rPr>
          <w:rFonts w:ascii="Arial" w:eastAsia="Times New Roman" w:hAnsi="Arial" w:cs="Arial"/>
          <w:b/>
          <w:bCs/>
          <w:sz w:val="22"/>
          <w:szCs w:val="22"/>
          <w:lang w:eastAsia="en-ZA"/>
        </w:rPr>
        <w:t>Maintaining Professional Independence and Integrity under Client, Stakeholder, or Organisational Pressure</w:t>
      </w:r>
      <w:r>
        <w:rPr>
          <w:rFonts w:ascii="Arial" w:eastAsia="Times New Roman" w:hAnsi="Arial" w:cs="Arial"/>
          <w:b/>
          <w:bCs/>
          <w:sz w:val="22"/>
          <w:szCs w:val="22"/>
          <w:lang w:eastAsia="en-ZA"/>
        </w:rPr>
        <w:t>.</w:t>
      </w:r>
    </w:p>
    <w:p w14:paraId="215D05C5" w14:textId="77777777" w:rsidR="00B57BAC" w:rsidRPr="003D3AFB" w:rsidRDefault="00B57BAC" w:rsidP="00B57BAC">
      <w:pPr>
        <w:spacing w:before="100" w:beforeAutospacing="1" w:after="100" w:afterAutospacing="1" w:line="276" w:lineRule="auto"/>
        <w:jc w:val="center"/>
        <w:rPr>
          <w:rFonts w:ascii="Arial" w:eastAsia="Times New Roman" w:hAnsi="Arial" w:cs="Arial"/>
          <w:b/>
          <w:bCs/>
          <w:sz w:val="22"/>
          <w:szCs w:val="22"/>
          <w:lang w:eastAsia="en-ZA"/>
        </w:rPr>
      </w:pPr>
    </w:p>
    <w:p w14:paraId="08B30E51" w14:textId="77777777" w:rsidR="00B57BAC" w:rsidRPr="00DE3112" w:rsidRDefault="00B57BAC" w:rsidP="00B57BAC">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DE3112">
        <w:rPr>
          <w:rFonts w:ascii="Arial" w:eastAsia="Times New Roman" w:hAnsi="Arial" w:cs="Arial"/>
          <w:b/>
          <w:bCs/>
          <w:sz w:val="22"/>
          <w:szCs w:val="22"/>
          <w:lang w:eastAsia="en-ZA"/>
        </w:rPr>
        <w:t>Introduction</w:t>
      </w:r>
    </w:p>
    <w:p w14:paraId="583900AE"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Pr>
          <w:rFonts w:ascii="Arial" w:eastAsia="Times New Roman" w:hAnsi="Arial" w:cs="Arial"/>
          <w:lang w:eastAsia="en-ZA"/>
        </w:rPr>
        <w:t>Registered Person</w:t>
      </w:r>
      <w:r w:rsidRPr="00DE3112">
        <w:rPr>
          <w:rFonts w:ascii="Arial" w:eastAsia="Times New Roman" w:hAnsi="Arial" w:cs="Arial"/>
          <w:lang w:eastAsia="en-ZA"/>
        </w:rPr>
        <w:t xml:space="preserve">s under the Engineering Council of South Africa (ECSA) operate within a complex network of professional, contractual, and organisational relationships. While they owe duties to clients, employers, and other stakeholders, they are bound first and foremost by legal and ethical responsibilities to uphold public safety, integrity, and the standards of the engineering profession. </w:t>
      </w:r>
    </w:p>
    <w:p w14:paraId="1DDC0973" w14:textId="77777777" w:rsidR="00B57BAC" w:rsidRPr="00DE3112"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1D634C62" w14:textId="77777777" w:rsidR="00B57BAC"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This duty becomes especially important when external pressures, whether commercial, political, or interpersonal, threaten to influence or compromise independent professional judgment. This advisory note provides an overview of the legal and ethical imperatives for maintaining professional independence, outlines practical strategies to resist undue influence, and explains the consequences of yielding to pressure that results in improper conduct or regulatory breaches.</w:t>
      </w:r>
    </w:p>
    <w:p w14:paraId="057609A5" w14:textId="77777777" w:rsidR="00B57BAC" w:rsidRPr="00BB4E08"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1C5CC1B4" w14:textId="77777777" w:rsidR="00B57BAC" w:rsidRPr="00DE3112" w:rsidRDefault="00B57BAC" w:rsidP="00B57BAC">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DE3112">
        <w:rPr>
          <w:rFonts w:ascii="Arial" w:eastAsia="Times New Roman" w:hAnsi="Arial" w:cs="Arial"/>
          <w:b/>
          <w:bCs/>
          <w:sz w:val="22"/>
          <w:szCs w:val="22"/>
          <w:lang w:eastAsia="en-ZA"/>
        </w:rPr>
        <w:t>Legal Framework Governing Professional Independence</w:t>
      </w:r>
    </w:p>
    <w:p w14:paraId="2D7FEA29" w14:textId="77777777" w:rsidR="00B57BAC" w:rsidRPr="00DE3112" w:rsidRDefault="00B57BAC" w:rsidP="00B57BAC">
      <w:pPr>
        <w:pStyle w:val="ListParagraph"/>
        <w:numPr>
          <w:ilvl w:val="0"/>
          <w:numId w:val="18"/>
        </w:numPr>
        <w:tabs>
          <w:tab w:val="left" w:pos="810"/>
        </w:tabs>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The obligation to maintain independence in professional judgment is embedded in South African legislation and in ECSA’s Code of Conduct. The </w:t>
      </w:r>
      <w:r w:rsidRPr="00DE3112">
        <w:rPr>
          <w:rFonts w:ascii="Arial" w:eastAsia="Times New Roman" w:hAnsi="Arial" w:cs="Arial"/>
          <w:i/>
          <w:iCs/>
          <w:lang w:eastAsia="en-ZA"/>
        </w:rPr>
        <w:t>Engineering Profession Act 46 of 2000</w:t>
      </w:r>
      <w:r w:rsidRPr="00DE3112">
        <w:rPr>
          <w:rFonts w:ascii="Arial" w:eastAsia="Times New Roman" w:hAnsi="Arial" w:cs="Arial"/>
          <w:lang w:eastAsia="en-ZA"/>
        </w:rPr>
        <w:t xml:space="preserve"> empowers ECSA to regulate the profession in the public interest, with section 27 authorising the publication of binding Rules of Conduct. These rules establish the expectation that </w:t>
      </w:r>
      <w:r>
        <w:rPr>
          <w:rFonts w:ascii="Arial" w:eastAsia="Times New Roman" w:hAnsi="Arial" w:cs="Arial"/>
          <w:lang w:eastAsia="en-ZA"/>
        </w:rPr>
        <w:t>Registered Person</w:t>
      </w:r>
      <w:r w:rsidRPr="00DE3112">
        <w:rPr>
          <w:rFonts w:ascii="Arial" w:eastAsia="Times New Roman" w:hAnsi="Arial" w:cs="Arial"/>
          <w:lang w:eastAsia="en-ZA"/>
        </w:rPr>
        <w:t>s will perform their duties impartially, ethically, and without external interference.</w:t>
      </w:r>
    </w:p>
    <w:p w14:paraId="1F470395" w14:textId="77777777" w:rsidR="00B57BAC" w:rsidRPr="00DE3112"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0261390F" w14:textId="77777777" w:rsidR="00B57BAC" w:rsidRPr="00BB4E08"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The overarching principles require </w:t>
      </w:r>
      <w:r>
        <w:rPr>
          <w:rFonts w:ascii="Arial" w:eastAsia="Times New Roman" w:hAnsi="Arial" w:cs="Arial"/>
          <w:lang w:eastAsia="en-ZA"/>
        </w:rPr>
        <w:t>Registered Person</w:t>
      </w:r>
      <w:r w:rsidRPr="00DE3112">
        <w:rPr>
          <w:rFonts w:ascii="Arial" w:eastAsia="Times New Roman" w:hAnsi="Arial" w:cs="Arial"/>
          <w:lang w:eastAsia="en-ZA"/>
        </w:rPr>
        <w:t xml:space="preserve">s to act in the public interest and with integrity, mandate objectivity and require that decisions be made without undue influence, imposes a duty to apply due skill, care, and diligence, and prohibits </w:t>
      </w:r>
      <w:r>
        <w:rPr>
          <w:rFonts w:ascii="Arial" w:eastAsia="Times New Roman" w:hAnsi="Arial" w:cs="Arial"/>
          <w:lang w:eastAsia="en-ZA"/>
        </w:rPr>
        <w:t>Registered Person</w:t>
      </w:r>
      <w:r w:rsidRPr="00DE3112">
        <w:rPr>
          <w:rFonts w:ascii="Arial" w:eastAsia="Times New Roman" w:hAnsi="Arial" w:cs="Arial"/>
          <w:lang w:eastAsia="en-ZA"/>
        </w:rPr>
        <w:t xml:space="preserve">s from engaging in any conduct that could be seen as disgraceful, dishonest, or discreditable to the profession. These rules create a legal framework that not only allows, but obliges, </w:t>
      </w:r>
      <w:r>
        <w:rPr>
          <w:rFonts w:ascii="Arial" w:eastAsia="Times New Roman" w:hAnsi="Arial" w:cs="Arial"/>
          <w:lang w:eastAsia="en-ZA"/>
        </w:rPr>
        <w:t>Registered Person</w:t>
      </w:r>
      <w:r w:rsidRPr="00DE3112">
        <w:rPr>
          <w:rFonts w:ascii="Arial" w:eastAsia="Times New Roman" w:hAnsi="Arial" w:cs="Arial"/>
          <w:lang w:eastAsia="en-ZA"/>
        </w:rPr>
        <w:t>s to resist any pressure, whether from clients, stakeholders, or organisational superiors, that would compromise the ethical execution of engineering duties.</w:t>
      </w:r>
    </w:p>
    <w:p w14:paraId="66D6A454"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lastRenderedPageBreak/>
        <w:t xml:space="preserve">These obligations are reinforced by the </w:t>
      </w:r>
      <w:r w:rsidRPr="00DE3112">
        <w:rPr>
          <w:rFonts w:ascii="Arial" w:eastAsia="Times New Roman" w:hAnsi="Arial" w:cs="Arial"/>
          <w:i/>
          <w:iCs/>
          <w:lang w:eastAsia="en-ZA"/>
        </w:rPr>
        <w:t>Council for the Built Environment Act 43 of 2000</w:t>
      </w:r>
      <w:r w:rsidRPr="00DE3112">
        <w:rPr>
          <w:rFonts w:ascii="Arial" w:eastAsia="Times New Roman" w:hAnsi="Arial" w:cs="Arial"/>
          <w:lang w:eastAsia="en-ZA"/>
        </w:rPr>
        <w:t xml:space="preserve">, which mandates that all built environment professionals uphold uniform standards of ethical conduct and by the </w:t>
      </w:r>
      <w:r w:rsidRPr="00DE3112">
        <w:rPr>
          <w:rFonts w:ascii="Arial" w:eastAsia="Times New Roman" w:hAnsi="Arial" w:cs="Arial"/>
          <w:i/>
          <w:iCs/>
          <w:lang w:eastAsia="en-ZA"/>
        </w:rPr>
        <w:t>Occupational Health and Safety Act 85 of 1993</w:t>
      </w:r>
      <w:r w:rsidRPr="00DE3112">
        <w:rPr>
          <w:rFonts w:ascii="Arial" w:eastAsia="Times New Roman" w:hAnsi="Arial" w:cs="Arial"/>
          <w:lang w:eastAsia="en-ZA"/>
        </w:rPr>
        <w:t xml:space="preserve"> (OHSA), which imposes a statutory duty on persons who design systems, structures, or processes to ensure that these do not pose a threat to health or safety.</w:t>
      </w:r>
    </w:p>
    <w:p w14:paraId="536B06FB" w14:textId="77777777" w:rsidR="00B57BAC" w:rsidRDefault="00B57BAC" w:rsidP="00B57BAC">
      <w:pPr>
        <w:pStyle w:val="ListParagraph"/>
        <w:spacing w:line="276" w:lineRule="auto"/>
        <w:ind w:left="567" w:hanging="567"/>
        <w:jc w:val="both"/>
        <w:rPr>
          <w:rFonts w:ascii="Arial" w:eastAsia="Times New Roman" w:hAnsi="Arial" w:cs="Arial"/>
          <w:b/>
          <w:bCs/>
          <w:lang w:eastAsia="en-ZA"/>
        </w:rPr>
      </w:pPr>
    </w:p>
    <w:p w14:paraId="4BF79B35" w14:textId="77777777" w:rsidR="00B57BAC" w:rsidRPr="00DE3112" w:rsidRDefault="00B57BAC" w:rsidP="00B57BAC">
      <w:pPr>
        <w:pStyle w:val="ListParagraph"/>
        <w:spacing w:line="276" w:lineRule="auto"/>
        <w:ind w:left="567" w:hanging="567"/>
        <w:jc w:val="both"/>
        <w:rPr>
          <w:rFonts w:ascii="Arial" w:eastAsia="Times New Roman" w:hAnsi="Arial" w:cs="Arial"/>
          <w:b/>
          <w:bCs/>
          <w:lang w:eastAsia="en-ZA"/>
        </w:rPr>
      </w:pPr>
    </w:p>
    <w:p w14:paraId="750A19CA" w14:textId="77777777" w:rsidR="00B57BAC" w:rsidRPr="003D3AFB" w:rsidRDefault="00B57BAC" w:rsidP="00B57BAC">
      <w:pPr>
        <w:spacing w:before="100" w:beforeAutospacing="1" w:after="100" w:afterAutospacing="1" w:line="276" w:lineRule="auto"/>
        <w:ind w:left="567" w:hanging="567"/>
        <w:jc w:val="both"/>
        <w:rPr>
          <w:rFonts w:ascii="Arial" w:eastAsia="Times New Roman" w:hAnsi="Arial" w:cs="Arial"/>
          <w:sz w:val="22"/>
          <w:szCs w:val="22"/>
          <w:lang w:eastAsia="en-ZA"/>
        </w:rPr>
      </w:pPr>
      <w:r w:rsidRPr="00DE3112">
        <w:rPr>
          <w:rFonts w:ascii="Arial" w:eastAsia="Times New Roman" w:hAnsi="Arial" w:cs="Arial"/>
          <w:b/>
          <w:bCs/>
          <w:sz w:val="22"/>
          <w:szCs w:val="22"/>
          <w:lang w:eastAsia="en-ZA"/>
        </w:rPr>
        <w:t>Common Forms of Undue Pressure in Engineering Practice</w:t>
      </w:r>
    </w:p>
    <w:p w14:paraId="1F8C5CE9"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Pressure to compromise professional independence may manifest in many ways. A client or internal stakeholder may request that a </w:t>
      </w:r>
      <w:r>
        <w:rPr>
          <w:rFonts w:ascii="Arial" w:eastAsia="Times New Roman" w:hAnsi="Arial" w:cs="Arial"/>
          <w:lang w:eastAsia="en-ZA"/>
        </w:rPr>
        <w:t>Registered Person</w:t>
      </w:r>
      <w:r w:rsidRPr="00DE3112">
        <w:rPr>
          <w:rFonts w:ascii="Arial" w:eastAsia="Times New Roman" w:hAnsi="Arial" w:cs="Arial"/>
          <w:lang w:eastAsia="en-ZA"/>
        </w:rPr>
        <w:t xml:space="preserve"> overlook a non-compliance issue to expedite approvals. An employer may urge the </w:t>
      </w:r>
      <w:r>
        <w:rPr>
          <w:rFonts w:ascii="Arial" w:eastAsia="Times New Roman" w:hAnsi="Arial" w:cs="Arial"/>
          <w:lang w:eastAsia="en-ZA"/>
        </w:rPr>
        <w:t>Registered Person</w:t>
      </w:r>
      <w:r w:rsidRPr="00DE3112">
        <w:rPr>
          <w:rFonts w:ascii="Arial" w:eastAsia="Times New Roman" w:hAnsi="Arial" w:cs="Arial"/>
          <w:lang w:eastAsia="en-ZA"/>
        </w:rPr>
        <w:t xml:space="preserve"> to sign off on designs or completion certificates for work that has not been inspected or reviewed. Financial constraints may be cited as a reason to bypass environmental assessments or to use inferior materials, while senior executives may pressurise </w:t>
      </w:r>
      <w:r>
        <w:rPr>
          <w:rFonts w:ascii="Arial" w:eastAsia="Times New Roman" w:hAnsi="Arial" w:cs="Arial"/>
          <w:lang w:eastAsia="en-ZA"/>
        </w:rPr>
        <w:t>Registered Person</w:t>
      </w:r>
      <w:r w:rsidRPr="00DE3112">
        <w:rPr>
          <w:rFonts w:ascii="Arial" w:eastAsia="Times New Roman" w:hAnsi="Arial" w:cs="Arial"/>
          <w:lang w:eastAsia="en-ZA"/>
        </w:rPr>
        <w:t>s to downplay risks to avoid reputational or contractual consequences.</w:t>
      </w:r>
    </w:p>
    <w:p w14:paraId="66D51A4E" w14:textId="77777777" w:rsidR="00B57BAC" w:rsidRPr="00DE3112"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185EFD00"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Regardless of form or motivation, any request, instruction, or implied threat that seeks to alter or suppress a </w:t>
      </w:r>
      <w:r>
        <w:rPr>
          <w:rFonts w:ascii="Arial" w:eastAsia="Times New Roman" w:hAnsi="Arial" w:cs="Arial"/>
          <w:lang w:eastAsia="en-ZA"/>
        </w:rPr>
        <w:t>Registered Person</w:t>
      </w:r>
      <w:r w:rsidRPr="00DE3112">
        <w:rPr>
          <w:rFonts w:ascii="Arial" w:eastAsia="Times New Roman" w:hAnsi="Arial" w:cs="Arial"/>
          <w:lang w:eastAsia="en-ZA"/>
        </w:rPr>
        <w:t xml:space="preserve">’s independent professional opinion constitutes undue pressure. Even where such pressure is couched in terms of “pragmatism” or “business necessity,” the professional remains bound by the EPA and cannot abdicate their responsibility. In </w:t>
      </w:r>
      <w:r w:rsidRPr="00DE3112">
        <w:rPr>
          <w:rFonts w:ascii="Arial" w:eastAsia="Times New Roman" w:hAnsi="Arial" w:cs="Arial"/>
          <w:i/>
          <w:iCs/>
          <w:lang w:eastAsia="en-ZA"/>
        </w:rPr>
        <w:t>Gibson v Van der Walt NO</w:t>
      </w:r>
      <w:r w:rsidRPr="00DE3112">
        <w:rPr>
          <w:rFonts w:ascii="Arial" w:eastAsia="Times New Roman" w:hAnsi="Arial" w:cs="Arial"/>
          <w:lang w:eastAsia="en-ZA"/>
        </w:rPr>
        <w:t xml:space="preserve"> 1952 (1) SA 262 (A), the Appellate Division confirmed that employees who knowingly perform unlawful acts at the instruction of superiors remain personally liable for the consequences. This principle applies with equal force in engineering: a </w:t>
      </w:r>
      <w:r>
        <w:rPr>
          <w:rFonts w:ascii="Arial" w:eastAsia="Times New Roman" w:hAnsi="Arial" w:cs="Arial"/>
          <w:lang w:eastAsia="en-ZA"/>
        </w:rPr>
        <w:t>Registered Person</w:t>
      </w:r>
      <w:r w:rsidRPr="00DE3112">
        <w:rPr>
          <w:rFonts w:ascii="Arial" w:eastAsia="Times New Roman" w:hAnsi="Arial" w:cs="Arial"/>
          <w:lang w:eastAsia="en-ZA"/>
        </w:rPr>
        <w:t xml:space="preserve"> who approves non-compliant work under pressure cannot later escape accountability by claiming to have been following orders.</w:t>
      </w:r>
    </w:p>
    <w:p w14:paraId="0F1CBA9A" w14:textId="77777777" w:rsidR="00B57BAC" w:rsidRPr="00DE3112" w:rsidRDefault="00B57BAC" w:rsidP="00B57BAC">
      <w:pPr>
        <w:spacing w:line="276" w:lineRule="auto"/>
        <w:ind w:left="567" w:hanging="567"/>
        <w:jc w:val="both"/>
        <w:rPr>
          <w:rFonts w:ascii="Arial" w:eastAsia="Times New Roman" w:hAnsi="Arial" w:cs="Arial"/>
          <w:sz w:val="22"/>
          <w:szCs w:val="22"/>
          <w:lang w:eastAsia="en-ZA"/>
        </w:rPr>
      </w:pPr>
    </w:p>
    <w:p w14:paraId="5C2F5200" w14:textId="77777777" w:rsidR="00B57BAC" w:rsidRPr="00DE3112" w:rsidRDefault="00B57BAC" w:rsidP="00B57BAC">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DE3112">
        <w:rPr>
          <w:rFonts w:ascii="Arial" w:eastAsia="Times New Roman" w:hAnsi="Arial" w:cs="Arial"/>
          <w:b/>
          <w:bCs/>
          <w:sz w:val="22"/>
          <w:szCs w:val="22"/>
          <w:lang w:eastAsia="en-ZA"/>
        </w:rPr>
        <w:t>Impact of Pressure on Regulatory Submissions and Public Safety</w:t>
      </w:r>
    </w:p>
    <w:p w14:paraId="1E69C2B6"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One of the most serious consequences of compromised independence arises when </w:t>
      </w:r>
      <w:r>
        <w:rPr>
          <w:rFonts w:ascii="Arial" w:eastAsia="Times New Roman" w:hAnsi="Arial" w:cs="Arial"/>
          <w:lang w:eastAsia="en-ZA"/>
        </w:rPr>
        <w:t>Registered Person</w:t>
      </w:r>
      <w:r w:rsidRPr="00DE3112">
        <w:rPr>
          <w:rFonts w:ascii="Arial" w:eastAsia="Times New Roman" w:hAnsi="Arial" w:cs="Arial"/>
          <w:lang w:eastAsia="en-ZA"/>
        </w:rPr>
        <w:t xml:space="preserve">s are responsible for preparing or certifying documents for submission to local authorities, regulators, or the public. These include building plans, environmental compliance reports, risk assessments, and safety </w:t>
      </w:r>
      <w:proofErr w:type="gramStart"/>
      <w:r w:rsidRPr="00DE3112">
        <w:rPr>
          <w:rFonts w:ascii="Arial" w:eastAsia="Times New Roman" w:hAnsi="Arial" w:cs="Arial"/>
          <w:lang w:eastAsia="en-ZA"/>
        </w:rPr>
        <w:t>sign-offs</w:t>
      </w:r>
      <w:proofErr w:type="gramEnd"/>
      <w:r w:rsidRPr="00DE3112">
        <w:rPr>
          <w:rFonts w:ascii="Arial" w:eastAsia="Times New Roman" w:hAnsi="Arial" w:cs="Arial"/>
          <w:lang w:eastAsia="en-ZA"/>
        </w:rPr>
        <w:t xml:space="preserve">. Such submissions are treated by authorities as reliable professional attestations. If they are falsified, incomplete, or submitted without appropriate inspection and verification, the </w:t>
      </w:r>
      <w:r>
        <w:rPr>
          <w:rFonts w:ascii="Arial" w:eastAsia="Times New Roman" w:hAnsi="Arial" w:cs="Arial"/>
          <w:lang w:eastAsia="en-ZA"/>
        </w:rPr>
        <w:t>Registered Person</w:t>
      </w:r>
      <w:r w:rsidRPr="00DE3112">
        <w:rPr>
          <w:rFonts w:ascii="Arial" w:eastAsia="Times New Roman" w:hAnsi="Arial" w:cs="Arial"/>
          <w:lang w:eastAsia="en-ZA"/>
        </w:rPr>
        <w:t xml:space="preserve"> may be liable under both professional and criminal law.</w:t>
      </w:r>
    </w:p>
    <w:p w14:paraId="5A5F8B7E" w14:textId="77777777" w:rsidR="00B57BAC" w:rsidRPr="00DE3112"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1E7756A3"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In </w:t>
      </w:r>
      <w:r w:rsidRPr="00DE3112">
        <w:rPr>
          <w:rFonts w:ascii="Arial" w:eastAsia="Times New Roman" w:hAnsi="Arial" w:cs="Arial"/>
          <w:i/>
          <w:iCs/>
          <w:lang w:eastAsia="en-ZA"/>
        </w:rPr>
        <w:t>Pretorius v Van Zyl</w:t>
      </w:r>
      <w:r w:rsidRPr="00DE3112">
        <w:rPr>
          <w:rFonts w:ascii="Arial" w:eastAsia="Times New Roman" w:hAnsi="Arial" w:cs="Arial"/>
          <w:lang w:eastAsia="en-ZA"/>
        </w:rPr>
        <w:t xml:space="preserve"> 1946 AD 476, the court held that professionals who issue certifications are expected to apply independent judgment, and that failure to do so, especially where harm results, constitutes negligence and breach of public duty. </w:t>
      </w:r>
    </w:p>
    <w:p w14:paraId="63437A56" w14:textId="77777777" w:rsidR="00B57BAC" w:rsidRPr="00DE3112" w:rsidRDefault="00B57BAC" w:rsidP="00B57BAC">
      <w:pPr>
        <w:pStyle w:val="ListParagraph"/>
        <w:spacing w:line="276" w:lineRule="auto"/>
        <w:ind w:left="567" w:hanging="567"/>
        <w:jc w:val="both"/>
        <w:rPr>
          <w:rFonts w:ascii="Arial" w:eastAsia="Times New Roman" w:hAnsi="Arial" w:cs="Arial"/>
          <w:lang w:eastAsia="en-ZA"/>
        </w:rPr>
      </w:pPr>
    </w:p>
    <w:p w14:paraId="2EB92E41"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lastRenderedPageBreak/>
        <w:t xml:space="preserve">The same reasoning applies under the </w:t>
      </w:r>
      <w:r w:rsidRPr="00DE3112">
        <w:rPr>
          <w:rFonts w:ascii="Arial" w:eastAsia="Times New Roman" w:hAnsi="Arial" w:cs="Arial"/>
          <w:i/>
          <w:iCs/>
          <w:lang w:eastAsia="en-ZA"/>
        </w:rPr>
        <w:t>National Building Regulations and Building Standards Act 103 of 1977</w:t>
      </w:r>
      <w:r w:rsidRPr="00DE3112">
        <w:rPr>
          <w:rFonts w:ascii="Arial" w:eastAsia="Times New Roman" w:hAnsi="Arial" w:cs="Arial"/>
          <w:lang w:eastAsia="en-ZA"/>
        </w:rPr>
        <w:t xml:space="preserve">, which requires that all construction and infrastructure comply with statutory design and safety requirements. </w:t>
      </w:r>
    </w:p>
    <w:p w14:paraId="11303481" w14:textId="77777777" w:rsidR="00B57BAC" w:rsidRPr="00DE3112" w:rsidRDefault="00B57BAC" w:rsidP="00B57BAC">
      <w:pPr>
        <w:pStyle w:val="ListParagraph"/>
        <w:spacing w:line="276" w:lineRule="auto"/>
        <w:ind w:left="567" w:hanging="567"/>
        <w:jc w:val="both"/>
        <w:rPr>
          <w:rFonts w:ascii="Arial" w:eastAsia="Times New Roman" w:hAnsi="Arial" w:cs="Arial"/>
          <w:lang w:eastAsia="en-ZA"/>
        </w:rPr>
      </w:pPr>
    </w:p>
    <w:p w14:paraId="015AF7E2"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Where </w:t>
      </w:r>
      <w:r>
        <w:rPr>
          <w:rFonts w:ascii="Arial" w:eastAsia="Times New Roman" w:hAnsi="Arial" w:cs="Arial"/>
          <w:lang w:eastAsia="en-ZA"/>
        </w:rPr>
        <w:t>Registered Person</w:t>
      </w:r>
      <w:r w:rsidRPr="00DE3112">
        <w:rPr>
          <w:rFonts w:ascii="Arial" w:eastAsia="Times New Roman" w:hAnsi="Arial" w:cs="Arial"/>
          <w:lang w:eastAsia="en-ZA"/>
        </w:rPr>
        <w:t xml:space="preserve">s issue compliance declarations or approve </w:t>
      </w:r>
      <w:proofErr w:type="gramStart"/>
      <w:r w:rsidRPr="00DE3112">
        <w:rPr>
          <w:rFonts w:ascii="Arial" w:eastAsia="Times New Roman" w:hAnsi="Arial" w:cs="Arial"/>
          <w:lang w:eastAsia="en-ZA"/>
        </w:rPr>
        <w:t>work</w:t>
      </w:r>
      <w:proofErr w:type="gramEnd"/>
      <w:r w:rsidRPr="00DE3112">
        <w:rPr>
          <w:rFonts w:ascii="Arial" w:eastAsia="Times New Roman" w:hAnsi="Arial" w:cs="Arial"/>
          <w:lang w:eastAsia="en-ZA"/>
        </w:rPr>
        <w:t xml:space="preserve"> they know to be non-compliant, they may be liable under that Act and under OHSA. </w:t>
      </w:r>
      <w:r>
        <w:rPr>
          <w:rFonts w:ascii="Arial" w:eastAsia="Times New Roman" w:hAnsi="Arial" w:cs="Arial"/>
          <w:lang w:eastAsia="en-ZA"/>
        </w:rPr>
        <w:t>Registered Person</w:t>
      </w:r>
      <w:r w:rsidRPr="00DE3112">
        <w:rPr>
          <w:rFonts w:ascii="Arial" w:eastAsia="Times New Roman" w:hAnsi="Arial" w:cs="Arial"/>
          <w:lang w:eastAsia="en-ZA"/>
        </w:rPr>
        <w:t xml:space="preserve">s may also expose themselves to sanctions under the </w:t>
      </w:r>
      <w:r w:rsidRPr="00DE3112">
        <w:rPr>
          <w:rFonts w:ascii="Arial" w:eastAsia="Times New Roman" w:hAnsi="Arial" w:cs="Arial"/>
          <w:i/>
          <w:iCs/>
          <w:lang w:eastAsia="en-ZA"/>
        </w:rPr>
        <w:t>Prevention and Combating of Corrupt Activities Act 12 of 2004</w:t>
      </w:r>
      <w:r w:rsidRPr="00DE3112">
        <w:rPr>
          <w:rFonts w:ascii="Arial" w:eastAsia="Times New Roman" w:hAnsi="Arial" w:cs="Arial"/>
          <w:lang w:eastAsia="en-ZA"/>
        </w:rPr>
        <w:t>, if they receive or solicit any benefit in exchange for improperly issuing certifications or approving non-compliant work. Even where no money changes hands, any form of favour, kickback, or pressure to act unlawfully may meet the threshold for corruption.</w:t>
      </w:r>
    </w:p>
    <w:p w14:paraId="19E4435D" w14:textId="77777777" w:rsidR="00B57BAC" w:rsidRPr="00DE3112" w:rsidRDefault="00B57BAC" w:rsidP="00B57BAC">
      <w:pPr>
        <w:spacing w:line="276" w:lineRule="auto"/>
        <w:ind w:left="567" w:hanging="567"/>
        <w:jc w:val="both"/>
        <w:rPr>
          <w:rFonts w:ascii="Arial" w:eastAsia="Times New Roman" w:hAnsi="Arial" w:cs="Arial"/>
          <w:sz w:val="22"/>
          <w:szCs w:val="22"/>
          <w:lang w:eastAsia="en-ZA"/>
        </w:rPr>
      </w:pPr>
    </w:p>
    <w:p w14:paraId="64F90B58" w14:textId="77777777" w:rsidR="00B57BAC" w:rsidRPr="00DE3112" w:rsidRDefault="00B57BAC" w:rsidP="00B57BAC">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DE3112">
        <w:rPr>
          <w:rFonts w:ascii="Arial" w:eastAsia="Times New Roman" w:hAnsi="Arial" w:cs="Arial"/>
          <w:b/>
          <w:bCs/>
          <w:sz w:val="22"/>
          <w:szCs w:val="22"/>
          <w:lang w:eastAsia="en-ZA"/>
        </w:rPr>
        <w:t>Independence in Internal Project Teams and Supervision Contexts</w:t>
      </w:r>
    </w:p>
    <w:p w14:paraId="41351C07"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Independence is not only tested in external client relationships but also within project teams, internal reporting structures, and supervisory roles. </w:t>
      </w:r>
      <w:r>
        <w:rPr>
          <w:rFonts w:ascii="Arial" w:eastAsia="Times New Roman" w:hAnsi="Arial" w:cs="Arial"/>
          <w:lang w:eastAsia="en-ZA"/>
        </w:rPr>
        <w:t>Registered Person</w:t>
      </w:r>
      <w:r w:rsidRPr="00DE3112">
        <w:rPr>
          <w:rFonts w:ascii="Arial" w:eastAsia="Times New Roman" w:hAnsi="Arial" w:cs="Arial"/>
          <w:lang w:eastAsia="en-ZA"/>
        </w:rPr>
        <w:t xml:space="preserve">s may be asked to approve work done by junior colleagues, unregistered assistants, or </w:t>
      </w:r>
      <w:r>
        <w:rPr>
          <w:rFonts w:ascii="Arial" w:eastAsia="Times New Roman" w:hAnsi="Arial" w:cs="Arial"/>
          <w:lang w:eastAsia="en-ZA"/>
        </w:rPr>
        <w:t>Registered Candidate</w:t>
      </w:r>
      <w:r w:rsidRPr="00DE3112">
        <w:rPr>
          <w:rFonts w:ascii="Arial" w:eastAsia="Times New Roman" w:hAnsi="Arial" w:cs="Arial"/>
          <w:lang w:eastAsia="en-ZA"/>
        </w:rPr>
        <w:t xml:space="preserve">s without proper verification. While time pressures and internal politics may push for compliance, the law is clear, a </w:t>
      </w:r>
      <w:r>
        <w:rPr>
          <w:rFonts w:ascii="Arial" w:eastAsia="Times New Roman" w:hAnsi="Arial" w:cs="Arial"/>
          <w:lang w:eastAsia="en-ZA"/>
        </w:rPr>
        <w:t>Registered Person</w:t>
      </w:r>
      <w:r w:rsidRPr="00DE3112">
        <w:rPr>
          <w:rFonts w:ascii="Arial" w:eastAsia="Times New Roman" w:hAnsi="Arial" w:cs="Arial"/>
          <w:lang w:eastAsia="en-ZA"/>
        </w:rPr>
        <w:t xml:space="preserve"> may only sign off on engineering work they have personally reviewed, verified, and accepted responsibility for.</w:t>
      </w:r>
    </w:p>
    <w:p w14:paraId="2D810DAA" w14:textId="77777777" w:rsidR="00B57BAC" w:rsidRPr="00DE3112"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4AF5F36C"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This is particularly critical when overseeing </w:t>
      </w:r>
      <w:r>
        <w:rPr>
          <w:rFonts w:ascii="Arial" w:eastAsia="Times New Roman" w:hAnsi="Arial" w:cs="Arial"/>
          <w:lang w:eastAsia="en-ZA"/>
        </w:rPr>
        <w:t>Registered Candidate</w:t>
      </w:r>
      <w:r w:rsidRPr="00DE3112">
        <w:rPr>
          <w:rFonts w:ascii="Arial" w:eastAsia="Times New Roman" w:hAnsi="Arial" w:cs="Arial"/>
          <w:lang w:eastAsia="en-ZA"/>
        </w:rPr>
        <w:t>s, whose outputs form part of their structured learning and may be submitted as evidence of competence. Supervising professionals must maintain objectivity and must not sign off on work unless it meets the required standard. Signing documents under duress or as a “favour” not only undermines the candidate’s development but also compromises the supervisor’s professional standing.</w:t>
      </w:r>
    </w:p>
    <w:p w14:paraId="588846B5" w14:textId="77777777" w:rsidR="00B57BAC" w:rsidRPr="00DE3112" w:rsidRDefault="00B57BAC" w:rsidP="00B57BAC">
      <w:pPr>
        <w:spacing w:line="276" w:lineRule="auto"/>
        <w:ind w:left="567" w:hanging="567"/>
        <w:jc w:val="both"/>
        <w:rPr>
          <w:rFonts w:ascii="Arial" w:eastAsia="Times New Roman" w:hAnsi="Arial" w:cs="Arial"/>
          <w:sz w:val="22"/>
          <w:szCs w:val="22"/>
          <w:lang w:eastAsia="en-ZA"/>
        </w:rPr>
      </w:pPr>
    </w:p>
    <w:p w14:paraId="7F0D6ABD" w14:textId="77777777" w:rsidR="00B57BAC" w:rsidRPr="00DE3112" w:rsidRDefault="00B57BAC" w:rsidP="00B57BAC">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DE3112">
        <w:rPr>
          <w:rFonts w:ascii="Arial" w:eastAsia="Times New Roman" w:hAnsi="Arial" w:cs="Arial"/>
          <w:b/>
          <w:bCs/>
          <w:sz w:val="22"/>
          <w:szCs w:val="22"/>
          <w:lang w:eastAsia="en-ZA"/>
        </w:rPr>
        <w:t>Legal Recourse and Professional Protections</w:t>
      </w:r>
    </w:p>
    <w:p w14:paraId="40C4BE76"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Pr>
          <w:rFonts w:ascii="Arial" w:eastAsia="Times New Roman" w:hAnsi="Arial" w:cs="Arial"/>
          <w:lang w:eastAsia="en-ZA"/>
        </w:rPr>
        <w:t>Registered Person</w:t>
      </w:r>
      <w:r w:rsidRPr="00DE3112">
        <w:rPr>
          <w:rFonts w:ascii="Arial" w:eastAsia="Times New Roman" w:hAnsi="Arial" w:cs="Arial"/>
          <w:lang w:eastAsia="en-ZA"/>
        </w:rPr>
        <w:t>s have legal rights and protections when facing improper pressure. Where undue influence is exerted, the professional should immediately document the instruction or request, state their professional objection in writing, and, if necessary, escalate the issue internally to ECSA or the necessary authorities. Written communications serve as essential evidence if the matter proceeds to an investigation.</w:t>
      </w:r>
    </w:p>
    <w:p w14:paraId="56CB7AA0" w14:textId="77777777" w:rsidR="00B57BAC" w:rsidRPr="00DE3112"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572C2A16" w14:textId="77777777" w:rsidR="00B57BAC"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If the </w:t>
      </w:r>
      <w:r>
        <w:rPr>
          <w:rFonts w:ascii="Arial" w:eastAsia="Times New Roman" w:hAnsi="Arial" w:cs="Arial"/>
          <w:lang w:eastAsia="en-ZA"/>
        </w:rPr>
        <w:t>Registered Person</w:t>
      </w:r>
      <w:r w:rsidRPr="00DE3112">
        <w:rPr>
          <w:rFonts w:ascii="Arial" w:eastAsia="Times New Roman" w:hAnsi="Arial" w:cs="Arial"/>
          <w:lang w:eastAsia="en-ZA"/>
        </w:rPr>
        <w:t xml:space="preserve"> reasonably believes that their continued involvement in the project would violate the law or the ECSA Rules of Conduct for </w:t>
      </w:r>
      <w:r>
        <w:rPr>
          <w:rFonts w:ascii="Arial" w:eastAsia="Times New Roman" w:hAnsi="Arial" w:cs="Arial"/>
          <w:lang w:eastAsia="en-ZA"/>
        </w:rPr>
        <w:t>Registered Person</w:t>
      </w:r>
      <w:r w:rsidRPr="00DE3112">
        <w:rPr>
          <w:rFonts w:ascii="Arial" w:eastAsia="Times New Roman" w:hAnsi="Arial" w:cs="Arial"/>
          <w:lang w:eastAsia="en-ZA"/>
        </w:rPr>
        <w:t xml:space="preserve">s, they are legally entitled, and ethically required, to withdraw from the project. Such withdrawal should be formally recorded and communicated. While withdrawal may carry commercial or employment consequences, it protects the </w:t>
      </w:r>
      <w:r>
        <w:rPr>
          <w:rFonts w:ascii="Arial" w:eastAsia="Times New Roman" w:hAnsi="Arial" w:cs="Arial"/>
          <w:lang w:eastAsia="en-ZA"/>
        </w:rPr>
        <w:t>Registered Person</w:t>
      </w:r>
      <w:r w:rsidRPr="00DE3112">
        <w:rPr>
          <w:rFonts w:ascii="Arial" w:eastAsia="Times New Roman" w:hAnsi="Arial" w:cs="Arial"/>
          <w:lang w:eastAsia="en-ZA"/>
        </w:rPr>
        <w:t xml:space="preserve"> from more severe consequences such as deregistration, criminal liability, or civil damages.</w:t>
      </w:r>
    </w:p>
    <w:p w14:paraId="54575F4A" w14:textId="77777777" w:rsidR="00B57BAC" w:rsidRPr="00BB4E08"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36EF76CB" w14:textId="77777777" w:rsidR="00B57BAC" w:rsidRPr="005C7BC4"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Pr>
          <w:rFonts w:ascii="Arial" w:eastAsia="Times New Roman" w:hAnsi="Arial" w:cs="Arial"/>
          <w:lang w:eastAsia="en-ZA"/>
        </w:rPr>
        <w:lastRenderedPageBreak/>
        <w:t>Registered Person</w:t>
      </w:r>
      <w:r w:rsidRPr="00DE3112">
        <w:rPr>
          <w:rFonts w:ascii="Arial" w:eastAsia="Times New Roman" w:hAnsi="Arial" w:cs="Arial"/>
          <w:lang w:eastAsia="en-ZA"/>
        </w:rPr>
        <w:t>s are also advised to carry comprehensive professional indemnity insurance. However, it must be noted that indemnity policies do not cover dishonest, fraudulent, or intentionally unlawful acts. As such, insurance is no substitute for maintaining professional independence.</w:t>
      </w:r>
    </w:p>
    <w:p w14:paraId="1BAD2C94" w14:textId="77777777" w:rsidR="00B57BAC" w:rsidRPr="00DE3112" w:rsidRDefault="00B57BAC" w:rsidP="00B57BAC">
      <w:pPr>
        <w:spacing w:before="100" w:beforeAutospacing="1" w:after="100" w:afterAutospacing="1" w:line="276" w:lineRule="auto"/>
        <w:ind w:left="567" w:hanging="567"/>
        <w:jc w:val="both"/>
        <w:outlineLvl w:val="2"/>
        <w:rPr>
          <w:rFonts w:ascii="Arial" w:eastAsia="Times New Roman" w:hAnsi="Arial" w:cs="Arial"/>
          <w:b/>
          <w:bCs/>
          <w:sz w:val="22"/>
          <w:szCs w:val="22"/>
          <w:lang w:eastAsia="en-ZA"/>
        </w:rPr>
      </w:pPr>
      <w:r w:rsidRPr="00DE3112">
        <w:rPr>
          <w:rFonts w:ascii="Arial" w:eastAsia="Times New Roman" w:hAnsi="Arial" w:cs="Arial"/>
          <w:b/>
          <w:bCs/>
          <w:sz w:val="22"/>
          <w:szCs w:val="22"/>
          <w:lang w:eastAsia="en-ZA"/>
        </w:rPr>
        <w:t>Recommendations and Conclusion</w:t>
      </w:r>
    </w:p>
    <w:p w14:paraId="5D93F3A5"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Professional independence is the bedrock of ethical engineering practice. </w:t>
      </w:r>
      <w:r>
        <w:rPr>
          <w:rFonts w:ascii="Arial" w:eastAsia="Times New Roman" w:hAnsi="Arial" w:cs="Arial"/>
          <w:lang w:eastAsia="en-ZA"/>
        </w:rPr>
        <w:t>Registered Person</w:t>
      </w:r>
      <w:r w:rsidRPr="00DE3112">
        <w:rPr>
          <w:rFonts w:ascii="Arial" w:eastAsia="Times New Roman" w:hAnsi="Arial" w:cs="Arial"/>
          <w:lang w:eastAsia="en-ZA"/>
        </w:rPr>
        <w:t>s must guard against any attempt to coerce, influence, or override their professional judgment. This includes resisting pressure to issue certifications without inspection, to approve incomplete work, to falsify data, or to omit safety and environmental concerns. The law supports the professional who acts with integrity, even against powerful or influential interests.</w:t>
      </w:r>
    </w:p>
    <w:p w14:paraId="0FF6DE88" w14:textId="77777777" w:rsidR="00B57BAC" w:rsidRPr="00DE3112" w:rsidRDefault="00B57BAC" w:rsidP="00B57BAC">
      <w:pPr>
        <w:pStyle w:val="ListParagraph"/>
        <w:spacing w:before="100" w:beforeAutospacing="1" w:after="100" w:afterAutospacing="1" w:line="276" w:lineRule="auto"/>
        <w:ind w:left="567" w:hanging="567"/>
        <w:jc w:val="both"/>
        <w:rPr>
          <w:rFonts w:ascii="Arial" w:eastAsia="Times New Roman" w:hAnsi="Arial" w:cs="Arial"/>
          <w:lang w:eastAsia="en-ZA"/>
        </w:rPr>
      </w:pPr>
    </w:p>
    <w:p w14:paraId="0CC3B5DE" w14:textId="77777777" w:rsidR="00B57BAC" w:rsidRPr="00DE3112" w:rsidRDefault="00B57BAC" w:rsidP="00B57BAC">
      <w:pPr>
        <w:pStyle w:val="ListParagraph"/>
        <w:numPr>
          <w:ilvl w:val="0"/>
          <w:numId w:val="18"/>
        </w:numPr>
        <w:spacing w:before="100" w:beforeAutospacing="1" w:after="100" w:afterAutospacing="1" w:line="276" w:lineRule="auto"/>
        <w:ind w:left="567" w:hanging="567"/>
        <w:jc w:val="both"/>
        <w:rPr>
          <w:rFonts w:ascii="Arial" w:eastAsia="Times New Roman" w:hAnsi="Arial" w:cs="Arial"/>
          <w:lang w:eastAsia="en-ZA"/>
        </w:rPr>
      </w:pPr>
      <w:r w:rsidRPr="00DE3112">
        <w:rPr>
          <w:rFonts w:ascii="Arial" w:eastAsia="Times New Roman" w:hAnsi="Arial" w:cs="Arial"/>
          <w:lang w:eastAsia="en-ZA"/>
        </w:rPr>
        <w:t xml:space="preserve">ECSA encourages all </w:t>
      </w:r>
      <w:r>
        <w:rPr>
          <w:rFonts w:ascii="Arial" w:eastAsia="Times New Roman" w:hAnsi="Arial" w:cs="Arial"/>
          <w:lang w:eastAsia="en-ZA"/>
        </w:rPr>
        <w:t>Registered Person</w:t>
      </w:r>
      <w:r w:rsidRPr="00DE3112">
        <w:rPr>
          <w:rFonts w:ascii="Arial" w:eastAsia="Times New Roman" w:hAnsi="Arial" w:cs="Arial"/>
          <w:lang w:eastAsia="en-ZA"/>
        </w:rPr>
        <w:t xml:space="preserve">s to consult with their legal or compliance teams, seek advice from mentors or regulatory officials, and use internal whistleblowing mechanisms where appropriate. </w:t>
      </w:r>
    </w:p>
    <w:p w14:paraId="4B24AA70" w14:textId="77777777" w:rsidR="00B57BAC" w:rsidRPr="00DE3112" w:rsidRDefault="00B57BAC" w:rsidP="00B57BAC">
      <w:pPr>
        <w:spacing w:line="276" w:lineRule="auto"/>
        <w:ind w:left="567" w:hanging="567"/>
        <w:jc w:val="both"/>
        <w:rPr>
          <w:rFonts w:ascii="Arial" w:eastAsia="Times New Roman" w:hAnsi="Arial" w:cs="Arial"/>
          <w:b/>
          <w:bCs/>
          <w:sz w:val="22"/>
          <w:szCs w:val="22"/>
          <w:lang w:eastAsia="en-ZA"/>
        </w:rPr>
      </w:pPr>
    </w:p>
    <w:p w14:paraId="58AB6BA5" w14:textId="77777777" w:rsidR="00B57BAC" w:rsidRPr="00DE3112" w:rsidRDefault="00B57BAC" w:rsidP="00B57BAC">
      <w:pPr>
        <w:spacing w:line="276" w:lineRule="auto"/>
        <w:ind w:left="567" w:hanging="567"/>
        <w:jc w:val="both"/>
        <w:rPr>
          <w:rFonts w:ascii="Arial" w:eastAsia="Times New Roman" w:hAnsi="Arial" w:cs="Arial"/>
          <w:sz w:val="22"/>
          <w:szCs w:val="22"/>
          <w:lang w:eastAsia="en-ZA"/>
        </w:rPr>
      </w:pPr>
    </w:p>
    <w:p w14:paraId="434D746E" w14:textId="77777777" w:rsidR="00B57BAC" w:rsidRPr="00DE3112" w:rsidRDefault="00B57BAC" w:rsidP="00B57BAC">
      <w:pPr>
        <w:spacing w:line="276" w:lineRule="auto"/>
        <w:ind w:left="567" w:hanging="567"/>
        <w:jc w:val="both"/>
        <w:rPr>
          <w:rFonts w:ascii="Arial" w:eastAsia="Times New Roman" w:hAnsi="Arial" w:cs="Arial"/>
          <w:sz w:val="22"/>
          <w:szCs w:val="22"/>
          <w:lang w:eastAsia="en-ZA"/>
        </w:rPr>
      </w:pPr>
      <w:r w:rsidRPr="00DE3112">
        <w:rPr>
          <w:rFonts w:ascii="Arial" w:eastAsia="Times New Roman" w:hAnsi="Arial" w:cs="Arial"/>
          <w:sz w:val="22"/>
          <w:szCs w:val="22"/>
          <w:lang w:eastAsia="en-ZA"/>
        </w:rPr>
        <w:t>END</w:t>
      </w:r>
    </w:p>
    <w:p w14:paraId="0D78717D" w14:textId="77777777" w:rsidR="00B57BAC" w:rsidRPr="00DE3112" w:rsidRDefault="00B57BAC" w:rsidP="00B57BAC">
      <w:pPr>
        <w:spacing w:line="276" w:lineRule="auto"/>
        <w:jc w:val="both"/>
        <w:rPr>
          <w:rFonts w:ascii="Arial" w:hAnsi="Arial" w:cs="Arial"/>
          <w:sz w:val="22"/>
          <w:szCs w:val="22"/>
        </w:rPr>
      </w:pPr>
    </w:p>
    <w:p w14:paraId="60A66D7F" w14:textId="77777777" w:rsidR="00B57BAC" w:rsidRPr="00DE3112" w:rsidRDefault="00B57BAC" w:rsidP="00B57BAC">
      <w:pPr>
        <w:spacing w:line="276" w:lineRule="auto"/>
        <w:jc w:val="both"/>
        <w:rPr>
          <w:rFonts w:ascii="Arial" w:hAnsi="Arial" w:cs="Arial"/>
          <w:b/>
          <w:bCs/>
          <w:sz w:val="22"/>
          <w:szCs w:val="22"/>
        </w:rPr>
      </w:pPr>
    </w:p>
    <w:p w14:paraId="6BC39DF7" w14:textId="77777777" w:rsidR="00B57BAC" w:rsidRPr="003D3AFB" w:rsidRDefault="00B57BAC" w:rsidP="00B57BAC">
      <w:pPr>
        <w:spacing w:line="276" w:lineRule="auto"/>
        <w:jc w:val="both"/>
        <w:rPr>
          <w:rFonts w:ascii="Arial" w:hAnsi="Arial" w:cs="Arial"/>
          <w:b/>
          <w:bCs/>
          <w:sz w:val="16"/>
          <w:szCs w:val="16"/>
        </w:rPr>
      </w:pPr>
    </w:p>
    <w:p w14:paraId="4A8FFE19" w14:textId="77777777" w:rsidR="00B57BAC" w:rsidRPr="003D3AFB" w:rsidRDefault="00B57BAC" w:rsidP="00B57BAC">
      <w:pPr>
        <w:spacing w:line="276" w:lineRule="auto"/>
        <w:jc w:val="both"/>
        <w:rPr>
          <w:rFonts w:ascii="Arial" w:hAnsi="Arial" w:cs="Arial"/>
          <w:b/>
          <w:bCs/>
          <w:sz w:val="16"/>
          <w:szCs w:val="16"/>
        </w:rPr>
      </w:pPr>
      <w:r w:rsidRPr="003D3AFB">
        <w:rPr>
          <w:rFonts w:ascii="Arial" w:hAnsi="Arial" w:cs="Arial"/>
          <w:b/>
          <w:bCs/>
          <w:sz w:val="16"/>
          <w:szCs w:val="16"/>
        </w:rPr>
        <w:t>Disclaimer</w:t>
      </w:r>
    </w:p>
    <w:p w14:paraId="1113D82E" w14:textId="77777777" w:rsidR="00B57BAC" w:rsidRPr="003D3AFB" w:rsidRDefault="00B57BAC" w:rsidP="00B57BAC">
      <w:pPr>
        <w:spacing w:line="276" w:lineRule="auto"/>
        <w:jc w:val="both"/>
        <w:rPr>
          <w:rFonts w:ascii="Arial" w:hAnsi="Arial" w:cs="Arial"/>
          <w:sz w:val="16"/>
          <w:szCs w:val="16"/>
        </w:rPr>
      </w:pPr>
      <w:r w:rsidRPr="003D3AFB">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 and/or Council,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4159210C" w14:textId="77777777" w:rsidR="00B57BAC" w:rsidRPr="003D3AFB" w:rsidRDefault="00B57BAC" w:rsidP="00B57BAC">
      <w:pPr>
        <w:spacing w:line="276" w:lineRule="auto"/>
        <w:jc w:val="both"/>
        <w:rPr>
          <w:rFonts w:ascii="Arial" w:hAnsi="Arial" w:cs="Arial"/>
          <w:b/>
          <w:bCs/>
          <w:sz w:val="16"/>
          <w:szCs w:val="16"/>
        </w:rPr>
      </w:pPr>
    </w:p>
    <w:p w14:paraId="13559604" w14:textId="77777777" w:rsidR="00B57BAC" w:rsidRPr="003D3AFB" w:rsidRDefault="00B57BAC" w:rsidP="00B57BAC">
      <w:pPr>
        <w:spacing w:line="276" w:lineRule="auto"/>
        <w:jc w:val="both"/>
        <w:rPr>
          <w:rFonts w:ascii="Arial" w:hAnsi="Arial" w:cs="Arial"/>
          <w:b/>
          <w:bCs/>
          <w:sz w:val="16"/>
          <w:szCs w:val="16"/>
        </w:rPr>
      </w:pPr>
      <w:r w:rsidRPr="003D3AFB">
        <w:rPr>
          <w:rFonts w:ascii="Arial" w:hAnsi="Arial" w:cs="Arial"/>
          <w:b/>
          <w:bCs/>
          <w:sz w:val="16"/>
          <w:szCs w:val="16"/>
        </w:rPr>
        <w:t>Intellectual Property and Copyright Notice</w:t>
      </w:r>
    </w:p>
    <w:p w14:paraId="5568C3F6" w14:textId="77777777" w:rsidR="00B57BAC" w:rsidRPr="003D3AFB" w:rsidRDefault="00B57BAC" w:rsidP="00B57BAC">
      <w:pPr>
        <w:spacing w:line="276" w:lineRule="auto"/>
        <w:jc w:val="both"/>
        <w:rPr>
          <w:rFonts w:ascii="Arial" w:hAnsi="Arial" w:cs="Arial"/>
          <w:sz w:val="16"/>
          <w:szCs w:val="16"/>
        </w:rPr>
      </w:pPr>
      <w:r w:rsidRPr="003D3AFB">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2F328A29" w14:textId="77777777" w:rsidR="00B57BAC" w:rsidRPr="003D3AFB" w:rsidRDefault="00B57BAC" w:rsidP="00B57BAC">
      <w:pPr>
        <w:spacing w:line="276" w:lineRule="auto"/>
        <w:jc w:val="both"/>
        <w:rPr>
          <w:rFonts w:ascii="Arial" w:hAnsi="Arial" w:cs="Arial"/>
          <w:sz w:val="16"/>
          <w:szCs w:val="16"/>
        </w:rPr>
      </w:pPr>
    </w:p>
    <w:p w14:paraId="40EB1FE9" w14:textId="77777777" w:rsidR="00B57BAC" w:rsidRPr="003D3AFB" w:rsidRDefault="00B57BAC" w:rsidP="00B57BAC">
      <w:pPr>
        <w:spacing w:line="276" w:lineRule="auto"/>
        <w:jc w:val="both"/>
        <w:rPr>
          <w:rFonts w:ascii="Arial" w:hAnsi="Arial" w:cs="Arial"/>
          <w:b/>
          <w:bCs/>
          <w:sz w:val="16"/>
          <w:szCs w:val="16"/>
        </w:rPr>
      </w:pPr>
      <w:r w:rsidRPr="003D3AFB">
        <w:rPr>
          <w:rFonts w:ascii="Arial" w:hAnsi="Arial" w:cs="Arial"/>
          <w:b/>
          <w:bCs/>
          <w:sz w:val="16"/>
          <w:szCs w:val="16"/>
        </w:rPr>
        <w:t>Use of Information</w:t>
      </w:r>
    </w:p>
    <w:p w14:paraId="1733FF65" w14:textId="77777777" w:rsidR="00B57BAC" w:rsidRPr="003D3AFB" w:rsidRDefault="00B57BAC" w:rsidP="00B57BAC">
      <w:pPr>
        <w:spacing w:line="276" w:lineRule="auto"/>
        <w:jc w:val="both"/>
        <w:rPr>
          <w:rFonts w:ascii="Arial" w:hAnsi="Arial" w:cs="Arial"/>
          <w:sz w:val="16"/>
          <w:szCs w:val="16"/>
        </w:rPr>
      </w:pPr>
      <w:r w:rsidRPr="003D3AFB">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40D97FB0" w14:textId="77777777" w:rsidR="00B57BAC" w:rsidRPr="00DE3112" w:rsidRDefault="00B57BAC" w:rsidP="00B57BAC">
      <w:pPr>
        <w:spacing w:line="276" w:lineRule="auto"/>
        <w:jc w:val="both"/>
        <w:rPr>
          <w:rFonts w:ascii="Arial" w:hAnsi="Arial" w:cs="Arial"/>
          <w:sz w:val="22"/>
          <w:szCs w:val="22"/>
        </w:rPr>
      </w:pPr>
    </w:p>
    <w:p w14:paraId="73044D0A" w14:textId="77777777" w:rsidR="00B57BAC" w:rsidRPr="00DE3112" w:rsidRDefault="00B57BAC" w:rsidP="00B57BAC">
      <w:pPr>
        <w:spacing w:line="276" w:lineRule="auto"/>
        <w:jc w:val="both"/>
        <w:rPr>
          <w:rFonts w:ascii="Arial" w:hAnsi="Arial" w:cs="Arial"/>
          <w:sz w:val="22"/>
          <w:szCs w:val="22"/>
        </w:rPr>
      </w:pPr>
    </w:p>
    <w:p w14:paraId="070C6B21" w14:textId="77777777" w:rsidR="00B57BAC" w:rsidRPr="00DE3112" w:rsidRDefault="00B57BAC" w:rsidP="00B57BAC">
      <w:pPr>
        <w:widowControl w:val="0"/>
        <w:tabs>
          <w:tab w:val="left" w:pos="204"/>
        </w:tabs>
        <w:autoSpaceDE w:val="0"/>
        <w:autoSpaceDN w:val="0"/>
        <w:adjustRightInd w:val="0"/>
        <w:spacing w:line="276" w:lineRule="auto"/>
        <w:jc w:val="both"/>
        <w:rPr>
          <w:rFonts w:ascii="Arial" w:eastAsia="Arial" w:hAnsi="Arial" w:cs="Arial"/>
          <w:spacing w:val="2"/>
          <w:sz w:val="22"/>
          <w:szCs w:val="22"/>
        </w:rPr>
      </w:pPr>
    </w:p>
    <w:p w14:paraId="02767316" w14:textId="77777777" w:rsidR="00B57BAC" w:rsidRPr="00DE3112" w:rsidRDefault="00B57BAC" w:rsidP="00B57BAC">
      <w:pPr>
        <w:widowControl w:val="0"/>
        <w:tabs>
          <w:tab w:val="left" w:pos="204"/>
        </w:tabs>
        <w:autoSpaceDE w:val="0"/>
        <w:autoSpaceDN w:val="0"/>
        <w:adjustRightInd w:val="0"/>
        <w:spacing w:line="276" w:lineRule="auto"/>
        <w:jc w:val="both"/>
        <w:rPr>
          <w:rFonts w:ascii="Arial" w:eastAsia="Arial" w:hAnsi="Arial" w:cs="Arial"/>
          <w:spacing w:val="2"/>
          <w:sz w:val="22"/>
          <w:szCs w:val="22"/>
        </w:rPr>
      </w:pPr>
    </w:p>
    <w:p w14:paraId="1529B8E9" w14:textId="77777777" w:rsidR="00B57BAC" w:rsidRPr="00DE3112" w:rsidRDefault="00B57BAC" w:rsidP="00B57BAC">
      <w:pPr>
        <w:widowControl w:val="0"/>
        <w:tabs>
          <w:tab w:val="left" w:pos="204"/>
        </w:tabs>
        <w:autoSpaceDE w:val="0"/>
        <w:autoSpaceDN w:val="0"/>
        <w:adjustRightInd w:val="0"/>
        <w:spacing w:line="276" w:lineRule="auto"/>
        <w:jc w:val="both"/>
        <w:rPr>
          <w:rFonts w:ascii="Arial" w:eastAsia="Arial" w:hAnsi="Arial" w:cs="Arial"/>
          <w:spacing w:val="2"/>
          <w:sz w:val="22"/>
          <w:szCs w:val="22"/>
        </w:rPr>
      </w:pP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p>
    <w:p w14:paraId="7CA772AC" w14:textId="77777777" w:rsidR="00B57BAC" w:rsidRPr="00DE3112" w:rsidRDefault="00B57BAC" w:rsidP="00B57BAC">
      <w:pPr>
        <w:widowControl w:val="0"/>
        <w:tabs>
          <w:tab w:val="left" w:pos="204"/>
        </w:tabs>
        <w:autoSpaceDE w:val="0"/>
        <w:autoSpaceDN w:val="0"/>
        <w:adjustRightInd w:val="0"/>
        <w:spacing w:line="276" w:lineRule="auto"/>
        <w:jc w:val="both"/>
        <w:rPr>
          <w:rFonts w:ascii="Arial" w:eastAsia="Arial" w:hAnsi="Arial" w:cs="Arial"/>
          <w:spacing w:val="2"/>
          <w:sz w:val="22"/>
          <w:szCs w:val="22"/>
        </w:rPr>
      </w:pP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eastAsia="Arial" w:hAnsi="Arial" w:cs="Arial"/>
          <w:spacing w:val="2"/>
          <w:sz w:val="22"/>
          <w:szCs w:val="22"/>
        </w:rPr>
        <w:tab/>
      </w:r>
      <w:r w:rsidRPr="00DE3112">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3EE731E3" wp14:editId="46719F9D">
                <wp:simplePos x="0" y="0"/>
                <wp:positionH relativeFrom="column">
                  <wp:posOffset>-638175</wp:posOffset>
                </wp:positionH>
                <wp:positionV relativeFrom="paragraph">
                  <wp:posOffset>273049</wp:posOffset>
                </wp:positionV>
                <wp:extent cx="6953250" cy="7210425"/>
                <wp:effectExtent l="0" t="0" r="0" b="0"/>
                <wp:wrapNone/>
                <wp:docPr id="686985666" name="Text Box 2"/>
                <wp:cNvGraphicFramePr/>
                <a:graphic xmlns:a="http://schemas.openxmlformats.org/drawingml/2006/main">
                  <a:graphicData uri="http://schemas.microsoft.com/office/word/2010/wordprocessingShape">
                    <wps:wsp>
                      <wps:cNvSpPr txBox="1"/>
                      <wps:spPr>
                        <a:xfrm>
                          <a:off x="0" y="0"/>
                          <a:ext cx="6953250" cy="7210425"/>
                        </a:xfrm>
                        <a:prstGeom prst="rect">
                          <a:avLst/>
                        </a:prstGeom>
                        <a:noFill/>
                        <a:ln w="6350">
                          <a:noFill/>
                        </a:ln>
                      </wps:spPr>
                      <wps:txbx>
                        <w:txbxContent>
                          <w:p w14:paraId="73DDF88B" w14:textId="77777777" w:rsidR="00B57BAC" w:rsidRPr="00224E98" w:rsidRDefault="00B57BAC" w:rsidP="00B57BAC">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2594ED4D" w14:textId="77777777" w:rsidR="00B57BAC" w:rsidRPr="00224E98" w:rsidRDefault="00B57BAC" w:rsidP="00B57BAC">
                            <w:pPr>
                              <w:ind w:left="720"/>
                              <w:jc w:val="both"/>
                              <w:rPr>
                                <w:rFonts w:ascii="Arial" w:hAnsi="Arial" w:cs="Aria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EE731E3" id="_x0000_t202" coordsize="21600,21600" o:spt="202" path="m,l,21600r21600,l21600,xe">
                <v:stroke joinstyle="miter"/>
                <v:path gradientshapeok="t" o:connecttype="rect"/>
              </v:shapetype>
              <v:shape id="Text Box 2" o:spid="_x0000_s1026" type="#_x0000_t202" style="position:absolute;left:0;text-align:left;margin-left:-50.25pt;margin-top:21.5pt;width:547.5pt;height:56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" filled="f" stroked="f" strokeweight=".5pt">
                <v:textbox>
                  <w:txbxContent>
                    <w:p w14:paraId="73DDF88B" w14:textId="77777777" w:rsidR="00B57BAC" w:rsidRPr="00224E98" w:rsidRDefault="00B57BAC" w:rsidP="00B57BAC">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2594ED4D" w14:textId="77777777" w:rsidR="00B57BAC" w:rsidRPr="00224E98" w:rsidRDefault="00B57BAC" w:rsidP="00B57BAC">
                      <w:pPr>
                        <w:ind w:left="720"/>
                        <w:jc w:val="both"/>
                        <w:rPr>
                          <w:rFonts w:ascii="Arial" w:hAnsi="Arial" w:cs="Arial"/>
                          <w:lang w:val="en-GB"/>
                        </w:rPr>
                      </w:pPr>
                    </w:p>
                  </w:txbxContent>
                </v:textbox>
              </v:shape>
            </w:pict>
          </mc:Fallback>
        </mc:AlternateContent>
      </w:r>
    </w:p>
    <w:p w14:paraId="183F8D95" w14:textId="77777777" w:rsidR="00676C1A" w:rsidRPr="006C1C66" w:rsidRDefault="00676C1A" w:rsidP="006C1C66"/>
    <w:sectPr w:rsidR="00676C1A" w:rsidRPr="006C1C66" w:rsidSect="00D52485">
      <w:headerReference w:type="default" r:id="rId10"/>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529C" w14:textId="77777777" w:rsidR="00B264AE" w:rsidRDefault="00B264AE" w:rsidP="007930E2">
      <w:r>
        <w:separator/>
      </w:r>
    </w:p>
  </w:endnote>
  <w:endnote w:type="continuationSeparator" w:id="0">
    <w:p w14:paraId="51160C73" w14:textId="77777777" w:rsidR="00B264AE" w:rsidRDefault="00B264AE" w:rsidP="007930E2">
      <w:r>
        <w:continuationSeparator/>
      </w:r>
    </w:p>
  </w:endnote>
  <w:endnote w:type="continuationNotice" w:id="1">
    <w:p w14:paraId="5401ED8C" w14:textId="77777777" w:rsidR="00B264AE" w:rsidRDefault="00B264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85268" w14:textId="77777777" w:rsidR="00B264AE" w:rsidRDefault="00B264AE" w:rsidP="007930E2">
      <w:r>
        <w:separator/>
      </w:r>
    </w:p>
  </w:footnote>
  <w:footnote w:type="continuationSeparator" w:id="0">
    <w:p w14:paraId="647886EB" w14:textId="77777777" w:rsidR="00B264AE" w:rsidRDefault="00B264AE" w:rsidP="007930E2">
      <w:r>
        <w:continuationSeparator/>
      </w:r>
    </w:p>
  </w:footnote>
  <w:footnote w:type="continuationNotice" w:id="1">
    <w:p w14:paraId="7B09D96A" w14:textId="77777777" w:rsidR="00B264AE" w:rsidRDefault="00B264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C62DD"/>
    <w:multiLevelType w:val="multilevel"/>
    <w:tmpl w:val="13BEA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99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4"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53622C95"/>
    <w:multiLevelType w:val="multilevel"/>
    <w:tmpl w:val="FF1A0E12"/>
    <w:lvl w:ilvl="0">
      <w:start w:val="1"/>
      <w:numFmt w:val="decimal"/>
      <w:lvlText w:val="%1."/>
      <w:lvlJc w:val="left"/>
      <w:pPr>
        <w:ind w:left="-270" w:hanging="360"/>
      </w:pPr>
      <w:rPr>
        <w:rFonts w:hint="default"/>
        <w:b w:val="0"/>
        <w:bCs w:val="0"/>
        <w:sz w:val="22"/>
      </w:rPr>
    </w:lvl>
    <w:lvl w:ilvl="1">
      <w:start w:val="1"/>
      <w:numFmt w:val="decimal"/>
      <w:isLgl/>
      <w:lvlText w:val="%1.%2"/>
      <w:lvlJc w:val="left"/>
      <w:pPr>
        <w:ind w:left="102" w:hanging="372"/>
      </w:pPr>
      <w:rPr>
        <w:rFonts w:hint="default"/>
        <w:b w:val="0"/>
        <w:bCs w:val="0"/>
      </w:rPr>
    </w:lvl>
    <w:lvl w:ilvl="2">
      <w:start w:val="1"/>
      <w:numFmt w:val="decimal"/>
      <w:isLgl/>
      <w:lvlText w:val="%1.%2.%3"/>
      <w:lvlJc w:val="left"/>
      <w:pPr>
        <w:ind w:left="810" w:hanging="720"/>
      </w:pPr>
      <w:rPr>
        <w:rFonts w:hint="default"/>
        <w:b w:val="0"/>
        <w:bCs w:val="0"/>
      </w:rPr>
    </w:lvl>
    <w:lvl w:ilvl="3">
      <w:start w:val="1"/>
      <w:numFmt w:val="decimal"/>
      <w:isLgl/>
      <w:lvlText w:val="%1.%2.%3.%4"/>
      <w:lvlJc w:val="left"/>
      <w:pPr>
        <w:ind w:left="1170" w:hanging="72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4050" w:hanging="1800"/>
      </w:pPr>
      <w:rPr>
        <w:rFonts w:hint="default"/>
      </w:rPr>
    </w:lvl>
  </w:abstractNum>
  <w:abstractNum w:abstractNumId="10"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5CBD0EB3"/>
    <w:multiLevelType w:val="hybridMultilevel"/>
    <w:tmpl w:val="104A6B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4"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17"/>
  </w:num>
  <w:num w:numId="2" w16cid:durableId="11883912">
    <w:abstractNumId w:val="13"/>
  </w:num>
  <w:num w:numId="3" w16cid:durableId="677200549">
    <w:abstractNumId w:val="6"/>
  </w:num>
  <w:num w:numId="4" w16cid:durableId="54862202">
    <w:abstractNumId w:val="2"/>
  </w:num>
  <w:num w:numId="5" w16cid:durableId="1440834432">
    <w:abstractNumId w:val="16"/>
  </w:num>
  <w:num w:numId="6" w16cid:durableId="308483780">
    <w:abstractNumId w:val="8"/>
  </w:num>
  <w:num w:numId="7" w16cid:durableId="212817272">
    <w:abstractNumId w:val="15"/>
  </w:num>
  <w:num w:numId="8" w16cid:durableId="1204633643">
    <w:abstractNumId w:val="1"/>
  </w:num>
  <w:num w:numId="9" w16cid:durableId="1110511468">
    <w:abstractNumId w:val="7"/>
  </w:num>
  <w:num w:numId="10" w16cid:durableId="614867456">
    <w:abstractNumId w:val="10"/>
  </w:num>
  <w:num w:numId="11" w16cid:durableId="932399660">
    <w:abstractNumId w:val="4"/>
  </w:num>
  <w:num w:numId="12" w16cid:durableId="1019892407">
    <w:abstractNumId w:val="12"/>
  </w:num>
  <w:num w:numId="13" w16cid:durableId="1083839502">
    <w:abstractNumId w:val="5"/>
  </w:num>
  <w:num w:numId="14" w16cid:durableId="1227253912">
    <w:abstractNumId w:val="14"/>
  </w:num>
  <w:num w:numId="15" w16cid:durableId="1399402029">
    <w:abstractNumId w:val="3"/>
  </w:num>
  <w:num w:numId="16" w16cid:durableId="1072125037">
    <w:abstractNumId w:val="0"/>
  </w:num>
  <w:num w:numId="17" w16cid:durableId="280722772">
    <w:abstractNumId w:val="9"/>
  </w:num>
  <w:num w:numId="18" w16cid:durableId="4320166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7C7E"/>
    <w:rsid w:val="00064DE2"/>
    <w:rsid w:val="00090309"/>
    <w:rsid w:val="000A211B"/>
    <w:rsid w:val="000B33B5"/>
    <w:rsid w:val="000D088D"/>
    <w:rsid w:val="000D536C"/>
    <w:rsid w:val="000F1B67"/>
    <w:rsid w:val="00113C4E"/>
    <w:rsid w:val="00143653"/>
    <w:rsid w:val="0015533A"/>
    <w:rsid w:val="001854E2"/>
    <w:rsid w:val="001A4AD6"/>
    <w:rsid w:val="001C0350"/>
    <w:rsid w:val="001C4B2E"/>
    <w:rsid w:val="001E1643"/>
    <w:rsid w:val="001E3996"/>
    <w:rsid w:val="0020111F"/>
    <w:rsid w:val="00251223"/>
    <w:rsid w:val="00266D5C"/>
    <w:rsid w:val="00286785"/>
    <w:rsid w:val="00290690"/>
    <w:rsid w:val="002A4D6E"/>
    <w:rsid w:val="002B1898"/>
    <w:rsid w:val="002B6E54"/>
    <w:rsid w:val="002C11D7"/>
    <w:rsid w:val="002E7299"/>
    <w:rsid w:val="002F1A4A"/>
    <w:rsid w:val="002F357C"/>
    <w:rsid w:val="002F59A4"/>
    <w:rsid w:val="002F7F5A"/>
    <w:rsid w:val="003003A6"/>
    <w:rsid w:val="00316A59"/>
    <w:rsid w:val="003364F7"/>
    <w:rsid w:val="003446AD"/>
    <w:rsid w:val="00355875"/>
    <w:rsid w:val="003718D9"/>
    <w:rsid w:val="00393EF0"/>
    <w:rsid w:val="00394102"/>
    <w:rsid w:val="003A3D7A"/>
    <w:rsid w:val="003C1745"/>
    <w:rsid w:val="003C638F"/>
    <w:rsid w:val="003D70EE"/>
    <w:rsid w:val="003E320B"/>
    <w:rsid w:val="003F1CCA"/>
    <w:rsid w:val="003F37E6"/>
    <w:rsid w:val="003F6EFD"/>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376F"/>
    <w:rsid w:val="00553C61"/>
    <w:rsid w:val="00560A09"/>
    <w:rsid w:val="00567267"/>
    <w:rsid w:val="00576FF1"/>
    <w:rsid w:val="00593BB3"/>
    <w:rsid w:val="00595648"/>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3167"/>
    <w:rsid w:val="00653750"/>
    <w:rsid w:val="00657DEE"/>
    <w:rsid w:val="00666770"/>
    <w:rsid w:val="00676C1A"/>
    <w:rsid w:val="006815EF"/>
    <w:rsid w:val="00691342"/>
    <w:rsid w:val="006A70B1"/>
    <w:rsid w:val="006B358C"/>
    <w:rsid w:val="006C1C66"/>
    <w:rsid w:val="006C21F5"/>
    <w:rsid w:val="006C535E"/>
    <w:rsid w:val="006C7CE4"/>
    <w:rsid w:val="006E13FB"/>
    <w:rsid w:val="006F1126"/>
    <w:rsid w:val="00704452"/>
    <w:rsid w:val="00704F90"/>
    <w:rsid w:val="00723B4B"/>
    <w:rsid w:val="0072709E"/>
    <w:rsid w:val="0074119A"/>
    <w:rsid w:val="00743C6C"/>
    <w:rsid w:val="00746FA4"/>
    <w:rsid w:val="0076043E"/>
    <w:rsid w:val="00765DD2"/>
    <w:rsid w:val="00783368"/>
    <w:rsid w:val="007930E2"/>
    <w:rsid w:val="007939BD"/>
    <w:rsid w:val="007B2C56"/>
    <w:rsid w:val="007B473F"/>
    <w:rsid w:val="007C074E"/>
    <w:rsid w:val="007C181F"/>
    <w:rsid w:val="007C6CAB"/>
    <w:rsid w:val="007F5E22"/>
    <w:rsid w:val="007F612A"/>
    <w:rsid w:val="00805953"/>
    <w:rsid w:val="00820927"/>
    <w:rsid w:val="008324E9"/>
    <w:rsid w:val="00845BC1"/>
    <w:rsid w:val="00852E4E"/>
    <w:rsid w:val="00873537"/>
    <w:rsid w:val="008D7571"/>
    <w:rsid w:val="008E289C"/>
    <w:rsid w:val="008E2E02"/>
    <w:rsid w:val="00915270"/>
    <w:rsid w:val="00921B7F"/>
    <w:rsid w:val="00935913"/>
    <w:rsid w:val="00936052"/>
    <w:rsid w:val="00957ECE"/>
    <w:rsid w:val="009616A5"/>
    <w:rsid w:val="0097252C"/>
    <w:rsid w:val="00982BF2"/>
    <w:rsid w:val="009849FA"/>
    <w:rsid w:val="00994DEF"/>
    <w:rsid w:val="009A09A9"/>
    <w:rsid w:val="009A21E9"/>
    <w:rsid w:val="009B3FDE"/>
    <w:rsid w:val="009B469E"/>
    <w:rsid w:val="009B4DB1"/>
    <w:rsid w:val="009B5EE2"/>
    <w:rsid w:val="009C2E48"/>
    <w:rsid w:val="009D3B99"/>
    <w:rsid w:val="009D5C08"/>
    <w:rsid w:val="009D5D00"/>
    <w:rsid w:val="00A14B80"/>
    <w:rsid w:val="00A34628"/>
    <w:rsid w:val="00A404F7"/>
    <w:rsid w:val="00A6102C"/>
    <w:rsid w:val="00A7711F"/>
    <w:rsid w:val="00AA1B73"/>
    <w:rsid w:val="00AA32E4"/>
    <w:rsid w:val="00AA5954"/>
    <w:rsid w:val="00AB48F2"/>
    <w:rsid w:val="00AC136F"/>
    <w:rsid w:val="00AD1685"/>
    <w:rsid w:val="00AD1FD9"/>
    <w:rsid w:val="00AD3CC8"/>
    <w:rsid w:val="00B03650"/>
    <w:rsid w:val="00B125E7"/>
    <w:rsid w:val="00B264AE"/>
    <w:rsid w:val="00B36CDA"/>
    <w:rsid w:val="00B36EE8"/>
    <w:rsid w:val="00B43944"/>
    <w:rsid w:val="00B50350"/>
    <w:rsid w:val="00B57BAC"/>
    <w:rsid w:val="00B61529"/>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A6CF2"/>
    <w:rsid w:val="00CB1667"/>
    <w:rsid w:val="00CD091D"/>
    <w:rsid w:val="00CD5B0B"/>
    <w:rsid w:val="00CF5315"/>
    <w:rsid w:val="00D018B8"/>
    <w:rsid w:val="00D16495"/>
    <w:rsid w:val="00D42A92"/>
    <w:rsid w:val="00D52426"/>
    <w:rsid w:val="00D52485"/>
    <w:rsid w:val="00D567DD"/>
    <w:rsid w:val="00D61BA6"/>
    <w:rsid w:val="00D77F7F"/>
    <w:rsid w:val="00D927D3"/>
    <w:rsid w:val="00DC53C2"/>
    <w:rsid w:val="00DD0CD5"/>
    <w:rsid w:val="00DE1C5A"/>
    <w:rsid w:val="00DE33B6"/>
    <w:rsid w:val="00DF6134"/>
    <w:rsid w:val="00E06F51"/>
    <w:rsid w:val="00E14AD8"/>
    <w:rsid w:val="00E16DFE"/>
    <w:rsid w:val="00E31673"/>
    <w:rsid w:val="00E35E9D"/>
    <w:rsid w:val="00E36709"/>
    <w:rsid w:val="00E4060C"/>
    <w:rsid w:val="00E577B6"/>
    <w:rsid w:val="00E62D92"/>
    <w:rsid w:val="00E67FCC"/>
    <w:rsid w:val="00E803AA"/>
    <w:rsid w:val="00EB1996"/>
    <w:rsid w:val="00EC42FD"/>
    <w:rsid w:val="00ED32C1"/>
    <w:rsid w:val="00ED4EC0"/>
    <w:rsid w:val="00ED674D"/>
    <w:rsid w:val="00EF13AC"/>
    <w:rsid w:val="00F1766F"/>
    <w:rsid w:val="00F3214E"/>
    <w:rsid w:val="00F62471"/>
    <w:rsid w:val="00F64A30"/>
    <w:rsid w:val="00F747C8"/>
    <w:rsid w:val="00F810BF"/>
    <w:rsid w:val="00FA04A4"/>
    <w:rsid w:val="00FE6899"/>
    <w:rsid w:val="00FF3202"/>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C1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customXml/itemProps2.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3.xml><?xml version="1.0" encoding="utf-8"?>
<ds:datastoreItem xmlns:ds="http://schemas.openxmlformats.org/officeDocument/2006/customXml" ds:itemID="{EB537844-5F62-47C0-A766-1D90D9CE9A83}"/>
</file>

<file path=docProps/app.xml><?xml version="1.0" encoding="utf-8"?>
<Properties xmlns="http://schemas.openxmlformats.org/officeDocument/2006/extended-properties" xmlns:vt="http://schemas.openxmlformats.org/officeDocument/2006/docPropsVTypes">
  <Template>Normal</Template>
  <TotalTime>2</TotalTime>
  <Pages>4</Pages>
  <Words>1481</Words>
  <Characters>9301</Characters>
  <Application>Microsoft Office Word</Application>
  <DocSecurity>0</DocSecurity>
  <Lines>197</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Luyolo Mabula</cp:lastModifiedBy>
  <cp:revision>2</cp:revision>
  <cp:lastPrinted>2021-03-17T15:58:00Z</cp:lastPrinted>
  <dcterms:created xsi:type="dcterms:W3CDTF">2025-05-30T09:29:00Z</dcterms:created>
  <dcterms:modified xsi:type="dcterms:W3CDTF">2025-05-30T09:29:00Z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60fff8b8-d694-47c9-8daf-400ead3e6264</vt:lpwstr>
  </property>
</Properties>
</file>